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hanging="720"/>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2">
      <w:pPr>
        <w:ind w:left="72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GENERALES DE LA PRÁCTICA DE TRANSPARENCIA PROACTIVA</w:t>
      </w:r>
    </w:p>
    <w:tbl>
      <w:tblPr>
        <w:tblStyle w:val="Table1"/>
        <w:tblW w:w="9918.0" w:type="dxa"/>
        <w:jc w:val="center"/>
        <w:tblLayout w:type="fixed"/>
        <w:tblLook w:val="0400"/>
      </w:tblPr>
      <w:tblGrid>
        <w:gridCol w:w="5132"/>
        <w:gridCol w:w="962"/>
        <w:gridCol w:w="178"/>
        <w:gridCol w:w="975"/>
        <w:gridCol w:w="1320"/>
        <w:gridCol w:w="1351"/>
        <w:tblGridChange w:id="0">
          <w:tblGrid>
            <w:gridCol w:w="5132"/>
            <w:gridCol w:w="962"/>
            <w:gridCol w:w="178"/>
            <w:gridCol w:w="975"/>
            <w:gridCol w:w="1320"/>
            <w:gridCol w:w="1351"/>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3">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Alerta de Género</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9">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Sujeto Obligado </w:t>
            </w:r>
          </w:p>
        </w:tc>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A">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C">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Secretaría de las Mujeres</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F">
            <w:pPr>
              <w:ind w:left="-56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Tipo de Sujeto Obligado </w:t>
            </w:r>
            <w:r w:rsidDel="00000000" w:rsidR="00000000" w:rsidRPr="00000000">
              <w:rPr>
                <w:rFonts w:ascii="Palatino Linotype" w:cs="Palatino Linotype" w:eastAsia="Palatino Linotype" w:hAnsi="Palatino Linotype"/>
                <w:i w:val="1"/>
                <w:rtl w:val="0"/>
              </w:rPr>
              <w:t xml:space="preserve">(Poder Ejecutivo, Poder Legislativo, Poder Judicial, Organismo Autónomo, Partido Político, Sindicato, etc.)</w:t>
            </w:r>
          </w:p>
        </w:tc>
        <w:tc>
          <w:tcPr>
            <w:gridSpan w:val="2"/>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1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Poder Ejecutivo </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5">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Área responsable de la práctica de Transparencia Proactiva</w:t>
            </w:r>
          </w:p>
        </w:tc>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8">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Dirección General de Prevención y Atención a la Violencia</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B">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Titular de la Unidad de Transparencia </w:t>
            </w:r>
          </w:p>
        </w:tc>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C">
            <w:pPr>
              <w:rPr>
                <w:rFonts w:ascii="Palatino Linotype" w:cs="Palatino Linotype" w:eastAsia="Palatino Linotype" w:hAnsi="Palatino Linotype"/>
                <w:b w:val="1"/>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E">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Lcda. Erika Núñez Gutiérrez</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21">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práctica ha sido reconocida previamente?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ind w:right="-7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r>
    </w:tbl>
    <w:p w:rsidR="00000000" w:rsidDel="00000000" w:rsidP="00000000" w:rsidRDefault="00000000" w:rsidRPr="00000000" w14:paraId="0000002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8">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CARACTERÍSTICAS DE LA PRÁCTICA DE TRANSPARENCIA PROACTIVA: </w:t>
      </w:r>
    </w:p>
    <w:p w:rsidR="00000000" w:rsidDel="00000000" w:rsidP="00000000" w:rsidRDefault="00000000" w:rsidRPr="00000000" w14:paraId="00000029">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Señale el año en que surgió y si se encuentra vigente: </w:t>
      </w:r>
    </w:p>
    <w:p w:rsidR="00000000" w:rsidDel="00000000" w:rsidP="00000000" w:rsidRDefault="00000000" w:rsidRPr="00000000" w14:paraId="0000002A">
      <w:pPr>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mes de septiembre de 2020, con la creación de la Secretaría de las Mujeres del Estado de México, comenzó la difusión de información relacionada con la “Alerta de Género” a través del micrositio de este Sujeto Obligado. En dicho sitio, es posible acceder a los registros de las acciones emergentes que se han puesto en marcha con el propósito de prevenir, atender, sancionar y erradicar la violencia ejercida contra niñas, adolescentes y mujeres en el Estado de México.</w:t>
      </w:r>
    </w:p>
    <w:p w:rsidR="00000000" w:rsidDel="00000000" w:rsidP="00000000" w:rsidRDefault="00000000" w:rsidRPr="00000000" w14:paraId="0000002B">
      <w:pPr>
        <w:spacing w:after="0" w:line="240" w:lineRule="auto"/>
        <w:ind w:left="-425" w:firstLine="0"/>
        <w:jc w:val="both"/>
        <w:rPr>
          <w:rFonts w:ascii="Palatino Linotype" w:cs="Palatino Linotype" w:eastAsia="Palatino Linotype" w:hAnsi="Palatino Linotype"/>
          <w:b w:val="1"/>
        </w:rPr>
      </w:pPr>
      <w:bookmarkStart w:colFirst="0" w:colLast="0" w:name="_heading=h.mmppre6egyhs" w:id="0"/>
      <w:bookmarkEnd w:id="0"/>
      <w:r w:rsidDel="00000000" w:rsidR="00000000" w:rsidRPr="00000000">
        <w:rPr>
          <w:rFonts w:ascii="Palatino Linotype" w:cs="Palatino Linotype" w:eastAsia="Palatino Linotype" w:hAnsi="Palatino Linotype"/>
          <w:b w:val="1"/>
          <w:rtl w:val="0"/>
        </w:rPr>
        <w:t xml:space="preserve">2. Explique el objetivo de dicha práctica: </w:t>
      </w:r>
    </w:p>
    <w:p w:rsidR="00000000" w:rsidDel="00000000" w:rsidP="00000000" w:rsidRDefault="00000000" w:rsidRPr="00000000" w14:paraId="0000002C">
      <w:pPr>
        <w:spacing w:after="0" w:line="240" w:lineRule="auto"/>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D">
      <w:pPr>
        <w:spacing w:after="0" w:line="240" w:lineRule="auto"/>
        <w:ind w:left="-425" w:firstLine="0"/>
        <w:jc w:val="both"/>
        <w:rPr>
          <w:rFonts w:ascii="Palatino Linotype" w:cs="Palatino Linotype" w:eastAsia="Palatino Linotype" w:hAnsi="Palatino Linotype"/>
        </w:rPr>
      </w:pPr>
      <w:bookmarkStart w:colFirst="0" w:colLast="0" w:name="_heading=h.9ff7alawvob2" w:id="1"/>
      <w:bookmarkEnd w:id="1"/>
      <w:r w:rsidDel="00000000" w:rsidR="00000000" w:rsidRPr="00000000">
        <w:rPr>
          <w:rFonts w:ascii="Palatino Linotype" w:cs="Palatino Linotype" w:eastAsia="Palatino Linotype" w:hAnsi="Palatino Linotype"/>
          <w:rtl w:val="0"/>
        </w:rPr>
        <w:t xml:space="preserve">Con el objetivo de transparentar y mantener informada a la ciudadanía, se difunden las acciones de emergencia implementadas para prevenir, atender, sancionar y erradicar la violencia, contra las mujeres,</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conforme a lo establecido en las medidas de seguridad, prevención y justicia contenidas tanto en la Declaratoria de procedencia como en las Resoluciones emitidas por la Secretaría de Gobernación, con relación a la Alerta de Violencia de Género por Feminicidio y la Alerta de Violencia de Género por Desaparición. </w:t>
      </w:r>
    </w:p>
    <w:p w:rsidR="00000000" w:rsidDel="00000000" w:rsidP="00000000" w:rsidRDefault="00000000" w:rsidRPr="00000000" w14:paraId="0000002E">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after="0" w:line="24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brinda información sobre el proceso de ejecución de los recursos asignados para atender la Alerta de Violencia de Género en los municipios declarados en situación de alerta.</w:t>
      </w:r>
    </w:p>
    <w:p w:rsidR="00000000" w:rsidDel="00000000" w:rsidP="00000000" w:rsidRDefault="00000000" w:rsidRPr="00000000" w14:paraId="00000030">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spacing w:after="0" w:line="240" w:lineRule="auto"/>
        <w:ind w:left="-425" w:firstLine="0"/>
        <w:jc w:val="both"/>
        <w:rPr>
          <w:rFonts w:ascii="Palatino Linotype" w:cs="Palatino Linotype" w:eastAsia="Palatino Linotype" w:hAnsi="Palatino Linotype"/>
        </w:rPr>
      </w:pPr>
      <w:bookmarkStart w:colFirst="0" w:colLast="0" w:name="_heading=h.4cw0qix63n2g" w:id="2"/>
      <w:bookmarkEnd w:id="2"/>
      <w:r w:rsidDel="00000000" w:rsidR="00000000" w:rsidRPr="00000000">
        <w:rPr>
          <w:rFonts w:ascii="Palatino Linotype" w:cs="Palatino Linotype" w:eastAsia="Palatino Linotype" w:hAnsi="Palatino Linotype"/>
          <w:rtl w:val="0"/>
        </w:rPr>
        <w:t xml:space="preserve">Adicionalmente, esta práctica incorpora la publicación de las actas de sesión derivadas del Mecanismo de Seguimiento de las Medidas de Seguridad, Prevención y Justicia para Atender y Erradicar la Violencia contra las Niñas, Adolescentes y Mujeres, establecido mediante la reforma al Reglamento de la Ley de Acceso de las Mujeres a una Vida Libre de Violencia del Estado de México, publicada en la Gaceta del Gobierno el 12 de septiembre de 2017. Este Mecanismo es coordinado por la persona titular de la Secretaría de las Mujeres y tiene como finalidad dirigir y verificar que las acciones interinstitucionales se lleven a cabo conforme a las atribuciones de cada instancia estatal, municipal o autónoma involucrada.</w:t>
      </w:r>
    </w:p>
    <w:p w:rsidR="00000000" w:rsidDel="00000000" w:rsidP="00000000" w:rsidRDefault="00000000" w:rsidRPr="00000000" w14:paraId="00000032">
      <w:pPr>
        <w:spacing w:after="0" w:line="240" w:lineRule="auto"/>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3">
      <w:pPr>
        <w:spacing w:after="0" w:line="240" w:lineRule="auto"/>
        <w:ind w:left="-425"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3. Indique qué es y cómo funciona </w:t>
      </w:r>
      <w:r w:rsidDel="00000000" w:rsidR="00000000" w:rsidRPr="00000000">
        <w:rPr>
          <w:rFonts w:ascii="Palatino Linotype" w:cs="Palatino Linotype" w:eastAsia="Palatino Linotype" w:hAnsi="Palatino Linotype"/>
          <w:b w:val="1"/>
          <w:i w:val="1"/>
          <w:rtl w:val="0"/>
        </w:rPr>
        <w:t xml:space="preserve">( Por ejemplo: es un Micrositio, pláticas que se llevaron a cabo en …, etc): </w:t>
      </w:r>
    </w:p>
    <w:p w:rsidR="00000000" w:rsidDel="00000000" w:rsidP="00000000" w:rsidRDefault="00000000" w:rsidRPr="00000000" w14:paraId="00000034">
      <w:pPr>
        <w:spacing w:after="0" w:line="240" w:lineRule="auto"/>
        <w:ind w:left="-425"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35">
      <w:pPr>
        <w:spacing w:after="0" w:line="24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espacio digital funciona como una plataforma informativa accesible al público, donde se concentran y actualizan periódicamente datos relevantes, documentos normativos, medidas de seguridad, estrategias de prevención, acciones de justicia y otros recursos vinculados a la respuesta gubernamental frente a la violencia de género. Así, se fortalece la rendición de cuentas y se facilita el acceso a la información para la sociedad en general, especialmente para las personas y colectivos interesados en la defensa de los derechos de las mujeres.</w:t>
      </w:r>
    </w:p>
    <w:p w:rsidR="00000000" w:rsidDel="00000000" w:rsidP="00000000" w:rsidRDefault="00000000" w:rsidRPr="00000000" w14:paraId="00000036">
      <w:pPr>
        <w:spacing w:after="0" w:line="240" w:lineRule="auto"/>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7">
      <w:pPr>
        <w:spacing w:after="0" w:line="240" w:lineRule="auto"/>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Describa los contenidos, temas o información publicados como parte de la práctica:</w:t>
      </w:r>
    </w:p>
    <w:p w:rsidR="00000000" w:rsidDel="00000000" w:rsidP="00000000" w:rsidRDefault="00000000" w:rsidRPr="00000000" w14:paraId="00000038">
      <w:pPr>
        <w:spacing w:after="0" w:line="240" w:lineRule="auto"/>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9">
      <w:pPr>
        <w:spacing w:after="0" w:line="24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Inicio: La página principal ofrece una introducción al propósito del sitio y destaca la importancia de la Alerta de Violencia de Género, como mecanismo para prevenir, atender, sancionar y erradicar la violencia contra las mujeres en el Estado de México. Incluye enlaces directos a las secciones más relevantes y proporciona información sobre las acciones emprendidas por las autoridades.</w:t>
      </w:r>
    </w:p>
    <w:p w:rsidR="00000000" w:rsidDel="00000000" w:rsidP="00000000" w:rsidRDefault="00000000" w:rsidRPr="00000000" w14:paraId="0000003A">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24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Objetivo: Esta sección explica que la Alerta de Violencia de Género es un conjunto de acciones gubernamentales de emergencia para enfrentar y erradicar la violencia feminicida en un territorio determinado. Su objetivo es garantizar la seguridad de las mujeres, niñas y adolescentes, así como eliminar la violencia en su contra mediante medidas específicas y coordinadas. </w:t>
      </w:r>
    </w:p>
    <w:p w:rsidR="00000000" w:rsidDel="00000000" w:rsidP="00000000" w:rsidRDefault="00000000" w:rsidRPr="00000000" w14:paraId="0000003E">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240" w:lineRule="auto"/>
        <w:ind w:left="-425" w:firstLine="0"/>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3. Marco Legal: Se presentan los fundamentos jurídicos que respaldan la implementación de la Alerta de Violencia de Género en el Estado de México. Se incluyen leyes, reglamentos y acuerdos actas de sesiones del Comité de los Mecanismos de la Operación de Recursos de la Alerta de Violencia de Género contra las Mujeres por Feminicidio y la Alerta de Violencia de Género contra las Mujeres por Desaparición, que establecen las bases legales para la ejecución de acciones destinadas a proteger los derechos de las mujeres y erradicar la violencia de género.</w:t>
      </w:r>
      <w:r w:rsidDel="00000000" w:rsidR="00000000" w:rsidRPr="00000000">
        <w:rPr>
          <w:rtl w:val="0"/>
        </w:rPr>
      </w:r>
    </w:p>
    <w:p w:rsidR="00000000" w:rsidDel="00000000" w:rsidP="00000000" w:rsidRDefault="00000000" w:rsidRPr="00000000" w14:paraId="00000040">
      <w:pPr>
        <w:spacing w:after="0" w:line="240" w:lineRule="auto"/>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1">
      <w:pPr>
        <w:spacing w:after="0" w:line="24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Municipios con Alerta: Esta sección proporciona información detallada sobre los municipios del Estado de México donde se ha declarado la Alerta de Violencia de Género por Feminicidio y/o Desaparición. Se incluyen datos específicos de cada municipio con Alerta, las acciones implementadas y los avances en la atención a la violencia contra las mujeres en esas localidades.</w:t>
      </w:r>
    </w:p>
    <w:p w:rsidR="00000000" w:rsidDel="00000000" w:rsidP="00000000" w:rsidRDefault="00000000" w:rsidRPr="00000000" w14:paraId="00000042">
      <w:pPr>
        <w:spacing w:after="0" w:line="240" w:lineRule="auto"/>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3">
      <w:pPr>
        <w:spacing w:after="0" w:line="24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Acciones y Programas: En este apartado</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se describen las estrategias y programas desarrollados para combatir la violencia de género en el Estado de México. Se detallan las campañas de sensibilización, capacitaciones, fortalecimiento de instituciones y otras iniciativas orientadas a prevenir y atender la violencia contra las mujeres.</w:t>
      </w:r>
    </w:p>
    <w:p w:rsidR="00000000" w:rsidDel="00000000" w:rsidP="00000000" w:rsidRDefault="00000000" w:rsidRPr="00000000" w14:paraId="00000044">
      <w:pPr>
        <w:spacing w:after="0" w:line="24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5">
      <w:pPr>
        <w:spacing w:after="0" w:line="240" w:lineRule="auto"/>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Describa el motivo por el que surgió:</w:t>
      </w:r>
    </w:p>
    <w:p w:rsidR="00000000" w:rsidDel="00000000" w:rsidP="00000000" w:rsidRDefault="00000000" w:rsidRPr="00000000" w14:paraId="00000046">
      <w:pPr>
        <w:spacing w:after="0" w:line="240" w:lineRule="auto"/>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7">
      <w:pPr>
        <w:spacing w:after="0" w:line="24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como una estrategia institucional orientada a transparentar y visibilizar las acciones emprendidas por el gobierno estatal y los municipios para enfrentar la violencia extrema contra las mujeres. Esta medida responde tanto a un mandato legal derivado de las Declaratorias de Alerta de Violencia contra las Mujeres por Feminicidio y Desaparición, como a una necesidad social de acceso público a la información, rendición de cuentas y seguimiento ciudadano.</w:t>
      </w:r>
    </w:p>
    <w:p w:rsidR="00000000" w:rsidDel="00000000" w:rsidP="00000000" w:rsidRDefault="00000000" w:rsidRPr="00000000" w14:paraId="00000048">
      <w:pPr>
        <w:spacing w:after="0" w:line="240" w:lineRule="auto"/>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9">
      <w:pPr>
        <w:spacing w:after="0" w:line="24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micrositio permite centralizar y divulgar datos sobre el marco legal, los municipios con alerta de violencia en contra de las mujeres, las acciones de prevención y atención, el uso de recursos públicos y los programas implementados; fortaleciendo así, la confianza institucional y el control </w:t>
      </w:r>
    </w:p>
    <w:p w:rsidR="00000000" w:rsidDel="00000000" w:rsidP="00000000" w:rsidRDefault="00000000" w:rsidRPr="00000000" w14:paraId="0000004A">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24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democrático de la gestión pública. En este sentido, la publicación sistemática y accesible de dicha información no solo cumple con criterios de legalidad y transparencia, sino que también busca  promover la corresponsabilidad social y contribuir a la erradicación de la violencia de género en el Estado de México.</w:t>
      </w:r>
    </w:p>
    <w:p w:rsidR="00000000" w:rsidDel="00000000" w:rsidP="00000000" w:rsidRDefault="00000000" w:rsidRPr="00000000" w14:paraId="0000004E">
      <w:pPr>
        <w:spacing w:after="0" w:line="240" w:lineRule="auto"/>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F">
      <w:pPr>
        <w:spacing w:after="0" w:line="240" w:lineRule="auto"/>
        <w:ind w:left="-425" w:firstLine="0"/>
        <w:jc w:val="both"/>
        <w:rPr>
          <w:rFonts w:ascii="Palatino Linotype" w:cs="Palatino Linotype" w:eastAsia="Palatino Linotype" w:hAnsi="Palatino Linotype"/>
          <w:b w:val="1"/>
        </w:rPr>
      </w:pPr>
      <w:bookmarkStart w:colFirst="0" w:colLast="0" w:name="_heading=h.uc814rfybcj0" w:id="3"/>
      <w:bookmarkEnd w:id="3"/>
      <w:r w:rsidDel="00000000" w:rsidR="00000000" w:rsidRPr="00000000">
        <w:rPr>
          <w:rFonts w:ascii="Palatino Linotype" w:cs="Palatino Linotype" w:eastAsia="Palatino Linotype" w:hAnsi="Palatino Linotype"/>
          <w:b w:val="1"/>
          <w:rtl w:val="0"/>
        </w:rPr>
        <w:t xml:space="preserve">6. Enuncie los beneficios generados a partir de su implementación: </w:t>
      </w:r>
    </w:p>
    <w:p w:rsidR="00000000" w:rsidDel="00000000" w:rsidP="00000000" w:rsidRDefault="00000000" w:rsidRPr="00000000" w14:paraId="00000050">
      <w:pPr>
        <w:spacing w:after="0" w:line="240" w:lineRule="auto"/>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1">
      <w:pPr>
        <w:spacing w:after="0" w:line="240" w:lineRule="auto"/>
        <w:ind w:left="-425" w:firstLine="0"/>
        <w:jc w:val="both"/>
        <w:rPr>
          <w:rFonts w:ascii="Palatino Linotype" w:cs="Palatino Linotype" w:eastAsia="Palatino Linotype" w:hAnsi="Palatino Linotype"/>
        </w:rPr>
      </w:pPr>
      <w:bookmarkStart w:colFirst="0" w:colLast="0" w:name="_heading=h.8x3pxyk658vy" w:id="4"/>
      <w:bookmarkEnd w:id="4"/>
      <w:r w:rsidDel="00000000" w:rsidR="00000000" w:rsidRPr="00000000">
        <w:rPr>
          <w:rFonts w:ascii="Palatino Linotype" w:cs="Palatino Linotype" w:eastAsia="Palatino Linotype" w:hAnsi="Palatino Linotype"/>
          <w:rtl w:val="0"/>
        </w:rPr>
        <w:t xml:space="preserve">La implementación del micrositio de la Alerta de Violencia de Género en el Estado de México ha generado beneficios clave al fortalecer la transparencia gubernamental, permitir el acceso abierto a la información sobre acciones emprendidas para prevenir y erradicar la violencia contra mujeres, niñas y adolescentes, y facilitar la rendición de cuentas sobre el uso de recursos públicos. Este sitio contribuye a mejorar la coordinación interinstitucional, sistematiza datos relevantes para el diseño y evaluación de políticas públicas con enfoque de género, promueve la sensibilización ciudadana y cumple con los lineamientos legales derivados de las declaratorias de Alerta por Feminicidio y Desaparición. En su conjunto, constituye una herramienta fundamental para impulsar una gestión pública más eficiente, incluyente y comprometida con los derechos humanos de las mujeres.</w:t>
      </w:r>
    </w:p>
    <w:p w:rsidR="00000000" w:rsidDel="00000000" w:rsidP="00000000" w:rsidRDefault="00000000" w:rsidRPr="00000000" w14:paraId="00000052">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after="0" w:line="24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la plataforma fomenta la participación social mediante mecanismos como encuestas de satisfacción y espacios de consulta ciudadana, que permiten a la población expresar sus opiniones y aportar al mejoramiento continuo de las acciones implementadas. Esta interacción fortalece el vínculo entre la sociedad y el gobierno, garantizando que la información difundida no solo informe, sino que también empodere a la ciudadanía, promoviendo una gestión pública más transparente, incluyente y efectiva en la defensa de los derechos humanos de las mujeres.</w:t>
      </w:r>
    </w:p>
    <w:p w:rsidR="00000000" w:rsidDel="00000000" w:rsidP="00000000" w:rsidRDefault="00000000" w:rsidRPr="00000000" w14:paraId="00000054">
      <w:pPr>
        <w:spacing w:after="0" w:line="240" w:lineRule="auto"/>
        <w:ind w:left="-425"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spacing w:after="0" w:line="240" w:lineRule="auto"/>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Explica de qué manera la práctica cumple con los atributos de calidad de la información, publicados en los Lineamientos de Implementación y Evaluación de Transparencia Proactiva y que se refieren a:</w:t>
      </w:r>
    </w:p>
    <w:p w:rsidR="00000000" w:rsidDel="00000000" w:rsidP="00000000" w:rsidRDefault="00000000" w:rsidRPr="00000000" w14:paraId="00000056">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7">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8">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9">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A">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B">
      <w:pPr>
        <w:ind w:left="-425"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C">
      <w:pPr>
        <w:ind w:left="-425" w:firstLine="0"/>
        <w:jc w:val="both"/>
        <w:rPr>
          <w:rFonts w:ascii="Palatino Linotype" w:cs="Palatino Linotype" w:eastAsia="Palatino Linotype" w:hAnsi="Palatino Linotype"/>
          <w:b w:val="1"/>
        </w:rPr>
      </w:pPr>
      <w:r w:rsidDel="00000000" w:rsidR="00000000" w:rsidRPr="00000000">
        <w:rPr>
          <w:rtl w:val="0"/>
        </w:rPr>
      </w:r>
    </w:p>
    <w:tbl>
      <w:tblPr>
        <w:tblStyle w:val="Table2"/>
        <w:tblpPr w:leftFromText="141" w:rightFromText="141" w:topFromText="0" w:bottomFromText="0" w:vertAnchor="text" w:horzAnchor="text" w:tblpX="0" w:tblpY="1"/>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835"/>
        <w:gridCol w:w="6374"/>
        <w:tblGridChange w:id="0">
          <w:tblGrid>
            <w:gridCol w:w="1276"/>
            <w:gridCol w:w="2835"/>
            <w:gridCol w:w="6374"/>
          </w:tblGrid>
        </w:tblGridChange>
      </w:tblGrid>
      <w:tr>
        <w:trPr>
          <w:cantSplit w:val="0"/>
          <w:tblHeader w:val="0"/>
        </w:trPr>
        <w:tc>
          <w:tcPr>
            <w:shd w:fill="f2f2f2" w:val="clear"/>
            <w:vAlign w:val="center"/>
          </w:tcPr>
          <w:p w:rsidR="00000000" w:rsidDel="00000000" w:rsidP="00000000" w:rsidRDefault="00000000" w:rsidRPr="00000000" w14:paraId="0000005D">
            <w:pPr>
              <w:jc w:val="both"/>
              <w:rPr>
                <w:rFonts w:ascii="Palatino Linotype" w:cs="Palatino Linotype" w:eastAsia="Palatino Linotype" w:hAnsi="Palatino Linotype"/>
                <w:b w:val="1"/>
              </w:rPr>
            </w:pPr>
            <w:r w:rsidDel="00000000" w:rsidR="00000000" w:rsidRPr="00000000">
              <w:rPr>
                <w:rtl w:val="0"/>
              </w:rPr>
            </w:r>
          </w:p>
        </w:tc>
        <w:tc>
          <w:tcPr>
            <w:shd w:fill="f2f2f2" w:val="clear"/>
            <w:vAlign w:val="center"/>
          </w:tcPr>
          <w:p w:rsidR="00000000" w:rsidDel="00000000" w:rsidP="00000000" w:rsidRDefault="00000000" w:rsidRPr="00000000" w14:paraId="0000005E">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Atributo de Calidad</w:t>
            </w:r>
          </w:p>
        </w:tc>
        <w:tc>
          <w:tcPr>
            <w:shd w:fill="f2f2f2" w:val="clear"/>
            <w:vAlign w:val="center"/>
          </w:tcPr>
          <w:p w:rsidR="00000000" w:rsidDel="00000000" w:rsidP="00000000" w:rsidRDefault="00000000" w:rsidRPr="00000000" w14:paraId="0000005F">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Explicación</w:t>
            </w:r>
          </w:p>
        </w:tc>
      </w:tr>
      <w:tr>
        <w:trPr>
          <w:cantSplit w:val="0"/>
          <w:tblHeader w:val="0"/>
        </w:trPr>
        <w:tc>
          <w:tcPr>
            <w:shd w:fill="f2f2f2" w:val="clear"/>
            <w:vAlign w:val="center"/>
          </w:tcPr>
          <w:p w:rsidR="00000000" w:rsidDel="00000000" w:rsidP="00000000" w:rsidRDefault="00000000" w:rsidRPr="00000000" w14:paraId="00000060">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w:t>
            </w:r>
          </w:p>
        </w:tc>
        <w:tc>
          <w:tcPr>
            <w:shd w:fill="f2f2f2" w:val="clear"/>
            <w:vAlign w:val="center"/>
          </w:tcPr>
          <w:p w:rsidR="00000000" w:rsidDel="00000000" w:rsidP="00000000" w:rsidRDefault="00000000" w:rsidRPr="00000000" w14:paraId="00000061">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tc>
        <w:tc>
          <w:tcP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La información está disponible en un sitio web público, gratuito y de fácil navegación, sin necesidad de registro o requisitos técnicos complejos. Además, el sitio es responsivo y puede consultarse desde distintos dispositivos (computadora, tablet, celular).</w:t>
            </w:r>
          </w:p>
        </w:tc>
      </w:tr>
      <w:tr>
        <w:trPr>
          <w:cantSplit w:val="0"/>
          <w:tblHeader w:val="0"/>
        </w:trPr>
        <w:tc>
          <w:tcPr>
            <w:shd w:fill="f2f2f2" w:val="clear"/>
            <w:vAlign w:val="center"/>
          </w:tcPr>
          <w:p w:rsidR="00000000" w:rsidDel="00000000" w:rsidP="00000000" w:rsidRDefault="00000000" w:rsidRPr="00000000" w14:paraId="00000063">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w:t>
            </w:r>
          </w:p>
        </w:tc>
        <w:tc>
          <w:tcPr>
            <w:shd w:fill="f2f2f2" w:val="clear"/>
            <w:vAlign w:val="center"/>
          </w:tcPr>
          <w:p w:rsidR="00000000" w:rsidDel="00000000" w:rsidP="00000000" w:rsidRDefault="00000000" w:rsidRPr="00000000" w14:paraId="00000064">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tc>
        <w:tc>
          <w:tcP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La información publicada proviene de fuentes oficiales como el Gobierno del Estado de México, sus secretarías y los municipios con Alerta de Violencia en contra de las Mujeres. Está respaldada por documentos normativos, institucionales y evidencia pública consultable.</w:t>
            </w:r>
          </w:p>
        </w:tc>
      </w:tr>
      <w:tr>
        <w:trPr>
          <w:cantSplit w:val="0"/>
          <w:tblHeader w:val="0"/>
        </w:trPr>
        <w:tc>
          <w:tcPr>
            <w:shd w:fill="f2f2f2" w:val="clear"/>
            <w:vAlign w:val="center"/>
          </w:tcPr>
          <w:p w:rsidR="00000000" w:rsidDel="00000000" w:rsidP="00000000" w:rsidRDefault="00000000" w:rsidRPr="00000000" w14:paraId="00000066">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w:t>
            </w:r>
          </w:p>
        </w:tc>
        <w:tc>
          <w:tcPr>
            <w:shd w:fill="f2f2f2" w:val="clear"/>
            <w:vAlign w:val="center"/>
          </w:tcPr>
          <w:p w:rsidR="00000000" w:rsidDel="00000000" w:rsidP="00000000" w:rsidRDefault="00000000" w:rsidRPr="00000000" w14:paraId="00000067">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tc>
        <w:tc>
          <w:tcP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El micrositio es de fácil acceso, utiliza lenguaje claro y estructurado. Las secciones están organizadas temáticamente (objetivo, acciones, municipios, marco legal), lo que facilita la comprensión del contenido tanto para especialistas como para el público general.</w:t>
            </w:r>
          </w:p>
        </w:tc>
      </w:tr>
      <w:tr>
        <w:trPr>
          <w:cantSplit w:val="0"/>
          <w:tblHeader w:val="0"/>
        </w:trPr>
        <w:tc>
          <w:tcPr>
            <w:shd w:fill="f2f2f2" w:val="clear"/>
            <w:vAlign w:val="center"/>
          </w:tcPr>
          <w:p w:rsidR="00000000" w:rsidDel="00000000" w:rsidP="00000000" w:rsidRDefault="00000000" w:rsidRPr="00000000" w14:paraId="00000069">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w:t>
            </w:r>
          </w:p>
        </w:tc>
        <w:tc>
          <w:tcPr>
            <w:shd w:fill="f2f2f2" w:val="clear"/>
            <w:vAlign w:val="center"/>
          </w:tcPr>
          <w:p w:rsidR="00000000" w:rsidDel="00000000" w:rsidP="00000000" w:rsidRDefault="00000000" w:rsidRPr="00000000" w14:paraId="0000006A">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tc>
        <w:tc>
          <w:tcP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La información refleja las acciones más recientes e incluye documentos y reportes que permiten conocer avances y actualizaciones conforme se implementan nuevas estrategias o se modifican las medidas de atención a la violencia de género.</w:t>
            </w:r>
          </w:p>
        </w:tc>
      </w:tr>
      <w:tr>
        <w:trPr>
          <w:cantSplit w:val="0"/>
          <w:tblHeader w:val="0"/>
        </w:trPr>
        <w:tc>
          <w:tcPr>
            <w:shd w:fill="f2f2f2" w:val="clear"/>
            <w:vAlign w:val="center"/>
          </w:tcPr>
          <w:p w:rsidR="00000000" w:rsidDel="00000000" w:rsidP="00000000" w:rsidRDefault="00000000" w:rsidRPr="00000000" w14:paraId="0000006C">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p>
        </w:tc>
        <w:tc>
          <w:tcPr>
            <w:shd w:fill="f2f2f2" w:val="clear"/>
            <w:vAlign w:val="center"/>
          </w:tcPr>
          <w:p w:rsidR="00000000" w:rsidDel="00000000" w:rsidP="00000000" w:rsidRDefault="00000000" w:rsidRPr="00000000" w14:paraId="0000006D">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tc>
        <w:tc>
          <w:tcP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El sitio ofrece datos oficiales, respaldados por documentos normativos e informes institucionales, lo cual garantiza que la información publicada sea auténtica y corresponda con la realidad de los hechos reportados.</w:t>
            </w:r>
          </w:p>
        </w:tc>
      </w:tr>
      <w:tr>
        <w:trPr>
          <w:cantSplit w:val="0"/>
          <w:tblHeader w:val="0"/>
        </w:trPr>
        <w:tc>
          <w:tcPr>
            <w:shd w:fill="f2f2f2" w:val="clear"/>
            <w:vAlign w:val="center"/>
          </w:tcPr>
          <w:p w:rsidR="00000000" w:rsidDel="00000000" w:rsidP="00000000" w:rsidRDefault="00000000" w:rsidRPr="00000000" w14:paraId="0000006F">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6</w:t>
            </w:r>
          </w:p>
        </w:tc>
        <w:tc>
          <w:tcPr>
            <w:shd w:fill="f2f2f2" w:val="clear"/>
            <w:vAlign w:val="center"/>
          </w:tcPr>
          <w:p w:rsidR="00000000" w:rsidDel="00000000" w:rsidP="00000000" w:rsidRDefault="00000000" w:rsidRPr="00000000" w14:paraId="00000070">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tc>
        <w:tc>
          <w:tcP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Existe coherencia entre los objetivos del micrositio (difusión, transparencia y prevención) y el contenido publicado, ya que todo el material está relacionado directamente con la Alerta de Violencia de Género y sus mecanismos de operación.</w:t>
            </w:r>
          </w:p>
        </w:tc>
      </w:tr>
      <w:tr>
        <w:trPr>
          <w:cantSplit w:val="0"/>
          <w:tblHeader w:val="0"/>
        </w:trPr>
        <w:tc>
          <w:tcPr>
            <w:shd w:fill="f2f2f2" w:val="clear"/>
            <w:vAlign w:val="center"/>
          </w:tcPr>
          <w:p w:rsidR="00000000" w:rsidDel="00000000" w:rsidP="00000000" w:rsidRDefault="00000000" w:rsidRPr="00000000" w14:paraId="00000072">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w:t>
            </w:r>
          </w:p>
        </w:tc>
        <w:tc>
          <w:tcPr>
            <w:shd w:fill="f2f2f2" w:val="clear"/>
            <w:vAlign w:val="center"/>
          </w:tcPr>
          <w:p w:rsidR="00000000" w:rsidDel="00000000" w:rsidP="00000000" w:rsidRDefault="00000000" w:rsidRPr="00000000" w14:paraId="00000073">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tc>
        <w:tc>
          <w:tcPr>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Se publica información integral: marco legal, municipios con alerta, acciones implementadas, programas, presupuestos y documentos de seguimiento, lo que permite tener una visión amplia y detallada del fenómeno y la respuesta institucional.</w:t>
            </w:r>
          </w:p>
        </w:tc>
      </w:tr>
      <w:tr>
        <w:trPr>
          <w:cantSplit w:val="0"/>
          <w:tblHeader w:val="0"/>
        </w:trPr>
        <w:tc>
          <w:tcPr>
            <w:shd w:fill="f2f2f2" w:val="clear"/>
            <w:vAlign w:val="center"/>
          </w:tcPr>
          <w:p w:rsidR="00000000" w:rsidDel="00000000" w:rsidP="00000000" w:rsidRDefault="00000000" w:rsidRPr="00000000" w14:paraId="00000075">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w:t>
            </w:r>
          </w:p>
        </w:tc>
        <w:tc>
          <w:tcPr>
            <w:shd w:fill="f2f2f2" w:val="clear"/>
            <w:vAlign w:val="center"/>
          </w:tcPr>
          <w:p w:rsidR="00000000" w:rsidDel="00000000" w:rsidP="00000000" w:rsidRDefault="00000000" w:rsidRPr="00000000" w14:paraId="00000076">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Actualizada</w:t>
            </w:r>
          </w:p>
        </w:tc>
        <w:tc>
          <w:tcPr>
            <w:vAlign w:val="center"/>
          </w:tcPr>
          <w:p w:rsidR="00000000" w:rsidDel="00000000" w:rsidP="00000000" w:rsidRDefault="00000000" w:rsidRPr="00000000" w14:paraId="00000077">
            <w:pPr>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El sitio incorpora datos y documentos actualizados, lo que asegura que los usuarios consulten información vigente. También se observa un esfuerzo por mantener el contenido en constante revisión conforme avanzan las acciones y políticas</w:t>
            </w:r>
          </w:p>
        </w:tc>
      </w:tr>
      <w:tr>
        <w:trPr>
          <w:cantSplit w:val="0"/>
          <w:tblHeader w:val="0"/>
        </w:trPr>
        <w:tc>
          <w:tcPr>
            <w:shd w:fill="f2f2f2" w:val="clear"/>
            <w:vAlign w:val="center"/>
          </w:tcPr>
          <w:p w:rsidR="00000000" w:rsidDel="00000000" w:rsidP="00000000" w:rsidRDefault="00000000" w:rsidRPr="00000000" w14:paraId="00000078">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9</w:t>
            </w:r>
          </w:p>
        </w:tc>
        <w:tc>
          <w:tcPr>
            <w:shd w:fill="f2f2f2" w:val="clear"/>
            <w:vAlign w:val="center"/>
          </w:tcPr>
          <w:p w:rsidR="00000000" w:rsidDel="00000000" w:rsidP="00000000" w:rsidRDefault="00000000" w:rsidRPr="00000000" w14:paraId="00000079">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 </w:t>
            </w:r>
          </w:p>
        </w:tc>
        <w:tc>
          <w:tcP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Los datos y documentos publicados pueden contrastarse con fuentes oficiales como la Secretaría de Gobernación.</w:t>
            </w:r>
          </w:p>
        </w:tc>
      </w:tr>
      <w:tr>
        <w:trPr>
          <w:cantSplit w:val="0"/>
          <w:tblHeader w:val="0"/>
        </w:trPr>
        <w:tc>
          <w:tcPr>
            <w:shd w:fill="f2f2f2" w:val="clear"/>
            <w:vAlign w:val="center"/>
          </w:tcPr>
          <w:p w:rsidR="00000000" w:rsidDel="00000000" w:rsidP="00000000" w:rsidRDefault="00000000" w:rsidRPr="00000000" w14:paraId="0000007B">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10</w:t>
            </w:r>
          </w:p>
        </w:tc>
        <w:tc>
          <w:tcPr>
            <w:shd w:fill="f2f2f2" w:val="clear"/>
            <w:vAlign w:val="center"/>
          </w:tcPr>
          <w:p w:rsidR="00000000" w:rsidDel="00000000" w:rsidP="00000000" w:rsidRDefault="00000000" w:rsidRPr="00000000" w14:paraId="0000007C">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Algunos documentos del micrositio están disponibles en formato descargable (PDF), lo que permite su uso, reutilización y análisis por parte de la ciudadanía, investigadores, OSC y medios de comunicación, en concordancia con los principios de datos abiertos gubernamentales.</w:t>
            </w:r>
          </w:p>
        </w:tc>
      </w:tr>
    </w:tbl>
    <w:p w:rsidR="00000000" w:rsidDel="00000000" w:rsidP="00000000" w:rsidRDefault="00000000" w:rsidRPr="00000000" w14:paraId="0000007E">
      <w:pPr>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F">
      <w:pPr>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0">
      <w:pPr>
        <w:jc w:val="both"/>
        <w:rPr>
          <w:rFonts w:ascii="Palatino Linotype" w:cs="Palatino Linotype" w:eastAsia="Palatino Linotype" w:hAnsi="Palatino Linotype"/>
          <w:b w:val="1"/>
        </w:rPr>
      </w:pPr>
      <w:r w:rsidDel="00000000" w:rsidR="00000000" w:rsidRPr="00000000">
        <w:rPr>
          <w:rtl w:val="0"/>
        </w:rPr>
      </w:r>
    </w:p>
    <w:tbl>
      <w:tblPr>
        <w:tblStyle w:val="Table3"/>
        <w:tblW w:w="9983.0" w:type="dxa"/>
        <w:jc w:val="center"/>
        <w:tblLayout w:type="fixed"/>
        <w:tblLook w:val="0400"/>
      </w:tblPr>
      <w:tblGrid>
        <w:gridCol w:w="2160"/>
        <w:gridCol w:w="2243"/>
        <w:gridCol w:w="2970"/>
        <w:gridCol w:w="2610"/>
        <w:tblGridChange w:id="0">
          <w:tblGrid>
            <w:gridCol w:w="2160"/>
            <w:gridCol w:w="2243"/>
            <w:gridCol w:w="2970"/>
            <w:gridCol w:w="2610"/>
          </w:tblGrid>
        </w:tblGridChange>
      </w:tblGrid>
      <w:tr>
        <w:trPr>
          <w:cantSplit w:val="0"/>
          <w:trHeight w:val="493"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1">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Indique de qué manera cumple con los objetivos su práctica: </w:t>
            </w:r>
          </w:p>
        </w:tc>
      </w:tr>
      <w:tr>
        <w:trPr>
          <w:cantSplit w:val="0"/>
          <w:trHeight w:val="156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5">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Disminuir asimetrías de la información </w:t>
            </w:r>
          </w:p>
          <w:p w:rsidR="00000000" w:rsidDel="00000000" w:rsidP="00000000" w:rsidRDefault="00000000" w:rsidRPr="00000000" w14:paraId="00000086">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87">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8">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Mejorar el acceso a trámites o servicios</w:t>
            </w:r>
          </w:p>
          <w:p w:rsidR="00000000" w:rsidDel="00000000" w:rsidP="00000000" w:rsidRDefault="00000000" w:rsidRPr="00000000" w14:paraId="00000089">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8A">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B">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Optimizar la toma de decisiones de autoridades, ciudadanos o de la población en general</w:t>
            </w:r>
          </w:p>
          <w:p w:rsidR="00000000" w:rsidDel="00000000" w:rsidP="00000000" w:rsidRDefault="00000000" w:rsidRPr="00000000" w14:paraId="0000008C">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  ¿por qué?</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D">
            <w:pPr>
              <w:spacing w:after="0" w:lineRule="auto"/>
              <w:ind w:left="-566"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Detonar la rendición de cuentas efectiva</w:t>
            </w:r>
          </w:p>
          <w:p w:rsidR="00000000" w:rsidDel="00000000" w:rsidP="00000000" w:rsidRDefault="00000000" w:rsidRPr="00000000" w14:paraId="0000008E">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8F">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rPr>
                <w:rFonts w:ascii="Palatino Linotype" w:cs="Palatino Linotype" w:eastAsia="Palatino Linotype" w:hAnsi="Palatino Linotype"/>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spacing w:after="0" w:line="24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Observaciones: </w:t>
            </w:r>
            <w:r w:rsidDel="00000000" w:rsidR="00000000" w:rsidRPr="00000000">
              <w:rPr>
                <w:rFonts w:ascii="Palatino Linotype" w:cs="Palatino Linotype" w:eastAsia="Palatino Linotype" w:hAnsi="Palatino Linotype"/>
                <w:sz w:val="18"/>
                <w:szCs w:val="18"/>
                <w:rtl w:val="0"/>
              </w:rPr>
              <w:t xml:space="preserve">La práctica de publicar información en el micrositio de la Alerta de Violencia de Género del Estado de México cumple con los objetivos de transparencia proactiva, ya que contribuye significativamente a disminuir las asimetrías de información al poner a disposición pública documentos clave, acciones implementadas y normatividad relacionada, lo que permite a diversos sectores acceder a datos oficiales y confiables. Asimismo, optimiza la toma de decisiones al ofrecer información sistematizada y actualizada que puede ser utilizada tanto por autoridades como por la ciudadanía para evaluar y fortalecer las políticas públicas en materia de violencia de género. También detona la rendición de cuentas efectiva, al transparentar los compromisos y avances institucionales frente a las declaratorias de Alerta por Feminicidio y Desaparición.</w:t>
            </w:r>
            <w:r w:rsidDel="00000000" w:rsidR="00000000" w:rsidRPr="00000000">
              <w:rPr>
                <w:rtl w:val="0"/>
              </w:rPr>
            </w:r>
          </w:p>
        </w:tc>
      </w:tr>
    </w:tbl>
    <w:p w:rsidR="00000000" w:rsidDel="00000000" w:rsidP="00000000" w:rsidRDefault="00000000" w:rsidRPr="00000000" w14:paraId="00000098">
      <w:pPr>
        <w:rPr>
          <w:rFonts w:ascii="Palatino Linotype" w:cs="Palatino Linotype" w:eastAsia="Palatino Linotype" w:hAnsi="Palatino Linotype"/>
          <w:b w:val="1"/>
          <w:sz w:val="10"/>
          <w:szCs w:val="10"/>
          <w:highlight w:val="yellow"/>
        </w:rPr>
      </w:pPr>
      <w:r w:rsidDel="00000000" w:rsidR="00000000" w:rsidRPr="00000000">
        <w:rPr>
          <w:rtl w:val="0"/>
        </w:rPr>
      </w:r>
    </w:p>
    <w:tbl>
      <w:tblPr>
        <w:tblStyle w:val="Table4"/>
        <w:tblW w:w="9945.0" w:type="dxa"/>
        <w:jc w:val="center"/>
        <w:tblLayout w:type="fixed"/>
        <w:tblLook w:val="0400"/>
      </w:tblPr>
      <w:tblGrid>
        <w:gridCol w:w="4770"/>
        <w:gridCol w:w="1179"/>
        <w:gridCol w:w="1191"/>
        <w:gridCol w:w="1275"/>
        <w:gridCol w:w="1530"/>
        <w:tblGridChange w:id="0">
          <w:tblGrid>
            <w:gridCol w:w="4770"/>
            <w:gridCol w:w="1179"/>
            <w:gridCol w:w="1191"/>
            <w:gridCol w:w="1275"/>
            <w:gridCol w:w="153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99">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9. ¿La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9A">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9C">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9E">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de que la respuesta sea afirmativa, indique a cuál sector se enfoca: </w:t>
            </w:r>
          </w:p>
        </w:tc>
      </w:tr>
      <w:tr>
        <w:trPr>
          <w:cantSplit w:val="0"/>
          <w:trHeight w:val="31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3">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sz w:val="18"/>
                <w:szCs w:val="18"/>
                <w:rtl w:val="0"/>
              </w:rPr>
              <w:t xml:space="preserve"> Mujeres, adolescentes y niñas</w:t>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5">
            <w:pPr>
              <w:rPr>
                <w:rFonts w:ascii="Palatino Linotype" w:cs="Palatino Linotype" w:eastAsia="Palatino Linotype" w:hAnsi="Palatino Linotype"/>
                <w:b w:val="1"/>
              </w:rPr>
            </w:pPr>
            <w:r w:rsidDel="00000000" w:rsidR="00000000" w:rsidRPr="00000000">
              <w:rPr>
                <w:rtl w:val="0"/>
              </w:rPr>
            </w:r>
          </w:p>
        </w:tc>
      </w:tr>
      <w:tr>
        <w:trPr>
          <w:cantSplit w:val="0"/>
          <w:trHeight w:val="286"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A8">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AA">
            <w:pPr>
              <w:rPr>
                <w:rFonts w:ascii="Palatino Linotype" w:cs="Palatino Linotype" w:eastAsia="Palatino Linotype" w:hAnsi="Palatino Linotype"/>
                <w:b w:val="1"/>
              </w:rPr>
            </w:pPr>
            <w:r w:rsidDel="00000000" w:rsidR="00000000" w:rsidRPr="00000000">
              <w:rPr>
                <w:rtl w:val="0"/>
              </w:rPr>
            </w:r>
          </w:p>
        </w:tc>
      </w:tr>
      <w:tr>
        <w:trPr>
          <w:cantSplit w:val="0"/>
          <w:trHeight w:val="30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ind w:left="-5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sz w:val="18"/>
                <w:szCs w:val="18"/>
                <w:rtl w:val="0"/>
              </w:rPr>
              <w:t xml:space="preserve">La práctica responde directamente a las declaratorias de Alerta de Violencia de Género por Feminicidio y por Desaparición emitidas por la Secretaría de Gobernación, por lo que su contenido está diseñado para visibilizar, documentar y transparentar las acciones institucionales orientadas a proteger los derechos de las mujeres, reducir riesgos, fortalecer mecanismos de prevención y garantizar el acceso a la justicia. Aunque está disponible para el público en general, su enfoque prioritario es la atención a mujeres en situación de riesgo y la promoción de la igualdad sustantiva.</w:t>
            </w:r>
            <w:r w:rsidDel="00000000" w:rsidR="00000000" w:rsidRPr="00000000">
              <w:rPr>
                <w:rtl w:val="0"/>
              </w:rPr>
            </w:r>
          </w:p>
        </w:tc>
      </w:tr>
    </w:tbl>
    <w:p w:rsidR="00000000" w:rsidDel="00000000" w:rsidP="00000000" w:rsidRDefault="00000000" w:rsidRPr="00000000" w14:paraId="000000B2">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B3">
      <w:pPr>
        <w:rPr>
          <w:rFonts w:ascii="Palatino Linotype" w:cs="Palatino Linotype" w:eastAsia="Palatino Linotype" w:hAnsi="Palatino Linotype"/>
          <w:b w:val="1"/>
        </w:rPr>
      </w:pPr>
      <w:r w:rsidDel="00000000" w:rsidR="00000000" w:rsidRPr="00000000">
        <w:rPr>
          <w:rtl w:val="0"/>
        </w:rPr>
      </w:r>
    </w:p>
    <w:tbl>
      <w:tblPr>
        <w:tblStyle w:val="Table5"/>
        <w:tblW w:w="9885.0" w:type="dxa"/>
        <w:jc w:val="center"/>
        <w:tblLayout w:type="fixed"/>
        <w:tblLook w:val="0400"/>
      </w:tblPr>
      <w:tblGrid>
        <w:gridCol w:w="4665"/>
        <w:gridCol w:w="1230"/>
        <w:gridCol w:w="1200"/>
        <w:gridCol w:w="1365"/>
        <w:gridCol w:w="1425"/>
        <w:tblGridChange w:id="0">
          <w:tblGrid>
            <w:gridCol w:w="4665"/>
            <w:gridCol w:w="1230"/>
            <w:gridCol w:w="1200"/>
            <w:gridCol w:w="1365"/>
            <w:gridCol w:w="142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4">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10. ¿La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9">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describa cómo participó la sociedad: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3">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Adjuntar y nombrar la evidencia o hipervínculo de la participación (pueden ser minutas o actas de trabajo, evidencias fotográficas, videos, etc.)</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rPr>
                <w:rFonts w:ascii="Palatino Linotype" w:cs="Palatino Linotype" w:eastAsia="Palatino Linotype" w:hAnsi="Palatino Linotype"/>
                <w:b w:val="1"/>
                <w:highlight w:val="yellow"/>
              </w:rPr>
            </w:pPr>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CD">
            <w:pPr>
              <w:ind w:hanging="42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0D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6"/>
        <w:tblW w:w="9870.0" w:type="dxa"/>
        <w:jc w:val="center"/>
        <w:tblLayout w:type="fixed"/>
        <w:tblLook w:val="0400"/>
      </w:tblPr>
      <w:tblGrid>
        <w:gridCol w:w="4665"/>
        <w:gridCol w:w="1426"/>
        <w:gridCol w:w="974"/>
        <w:gridCol w:w="1350"/>
        <w:gridCol w:w="1455"/>
        <w:tblGridChange w:id="0">
          <w:tblGrid>
            <w:gridCol w:w="4665"/>
            <w:gridCol w:w="1426"/>
            <w:gridCol w:w="974"/>
            <w:gridCol w:w="1350"/>
            <w:gridCol w:w="1455"/>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8">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11. ¿La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DD">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indique qué demanda o necesidad atiende:</w:t>
            </w:r>
          </w:p>
        </w:tc>
      </w:tr>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E2">
            <w:pPr>
              <w:spacing w:after="0" w:line="240" w:lineRule="auto"/>
              <w:ind w:left="-549" w:right="-118"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18"/>
                <w:szCs w:val="18"/>
                <w:rtl w:val="0"/>
              </w:rPr>
              <w:t xml:space="preserve">La práctica responde a la exigencia social de mayor transparencia, seguimiento, evaluación y rendición de cuentas respecto a las políticas públicas destinadas a prevenir, sancionar y erradicar la violencia contra mujeres, niñas y adolescentes. También atiende la necesidad de contar con información oficial, centralizada y confiable sobre los programas, medidas de seguridad, acciones de prevención y mecanismos de justicia impulsados por las instituciones responsables.</w:t>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E4">
            <w:pPr>
              <w:ind w:left="2067" w:firstLine="0"/>
              <w:rPr>
                <w:rFonts w:ascii="Palatino Linotype" w:cs="Palatino Linotype" w:eastAsia="Palatino Linotype" w:hAnsi="Palatino Linotype"/>
                <w:b w:val="1"/>
              </w:rPr>
            </w:pPr>
            <w:r w:rsidDel="00000000" w:rsidR="00000000" w:rsidRPr="00000000">
              <w:rPr>
                <w:rtl w:val="0"/>
              </w:rPr>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E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EC">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EE">
            <w:pPr>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F1">
      <w:pPr>
        <w:rPr>
          <w:rFonts w:ascii="Palatino Linotype" w:cs="Palatino Linotype" w:eastAsia="Palatino Linotype" w:hAnsi="Palatino Linotype"/>
          <w:b w:val="1"/>
        </w:rPr>
      </w:pPr>
      <w:bookmarkStart w:colFirst="0" w:colLast="0" w:name="_heading=h.1fob9te" w:id="5"/>
      <w:bookmarkEnd w:id="5"/>
      <w:r w:rsidDel="00000000" w:rsidR="00000000" w:rsidRPr="00000000">
        <w:rPr>
          <w:rtl w:val="0"/>
        </w:rPr>
      </w:r>
    </w:p>
    <w:p w:rsidR="00000000" w:rsidDel="00000000" w:rsidP="00000000" w:rsidRDefault="00000000" w:rsidRPr="00000000" w14:paraId="000000F2">
      <w:pPr>
        <w:rPr>
          <w:rFonts w:ascii="Palatino Linotype" w:cs="Palatino Linotype" w:eastAsia="Palatino Linotype" w:hAnsi="Palatino Linotype"/>
          <w:b w:val="1"/>
        </w:rPr>
      </w:pPr>
      <w:r w:rsidDel="00000000" w:rsidR="00000000" w:rsidRPr="00000000">
        <w:rPr>
          <w:rtl w:val="0"/>
        </w:rPr>
      </w:r>
    </w:p>
    <w:tbl>
      <w:tblPr>
        <w:tblStyle w:val="Table7"/>
        <w:tblW w:w="9765.0" w:type="dxa"/>
        <w:jc w:val="center"/>
        <w:tblLayout w:type="fixed"/>
        <w:tblLook w:val="0400"/>
      </w:tblPr>
      <w:tblGrid>
        <w:gridCol w:w="2940"/>
        <w:gridCol w:w="3255"/>
        <w:gridCol w:w="3570"/>
        <w:tblGridChange w:id="0">
          <w:tblGrid>
            <w:gridCol w:w="2940"/>
            <w:gridCol w:w="3255"/>
            <w:gridCol w:w="3570"/>
          </w:tblGrid>
        </w:tblGridChange>
      </w:tblGrid>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3">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12. 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6">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7">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8">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Conjunto de datos o información no procesados (estructurados y susceptibles de vincularse entre sí).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r>
      <w:tr>
        <w:trPr>
          <w:cantSplit w:val="0"/>
          <w:trHeight w:val="214"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C">
            <w:pPr>
              <w:ind w:left="-708" w:firstLine="0"/>
              <w:rPr>
                <w:rFonts w:ascii="Palatino Linotype" w:cs="Palatino Linotype" w:eastAsia="Palatino Linotype" w:hAnsi="Palatino Linotype"/>
                <w:b w:val="1"/>
              </w:rPr>
            </w:pPr>
            <w:bookmarkStart w:colFirst="0" w:colLast="0" w:name="_heading=h.l1um91fzuux" w:id="6"/>
            <w:bookmarkEnd w:id="6"/>
            <w:r w:rsidDel="00000000" w:rsidR="00000000" w:rsidRPr="00000000">
              <w:rPr>
                <w:rFonts w:ascii="Palatino Linotype" w:cs="Palatino Linotype" w:eastAsia="Palatino Linotype" w:hAnsi="Palatino Linotype"/>
                <w:b w:val="1"/>
                <w:rtl w:val="0"/>
              </w:rPr>
              <w:t xml:space="preserve">Enlista las fuentes utilizadas y como fueron aprovechadas: </w:t>
            </w:r>
          </w:p>
        </w:tc>
      </w:tr>
      <w:tr>
        <w:trPr>
          <w:cantSplit w:val="0"/>
          <w:trHeight w:val="2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686"/>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Secretaría de las Mujeres del Estado de México</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686"/>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Se emplearon como fuente primaria de información para el desarrollo del micrositio.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6"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Se utilizaron datos institucionales, resultados de acciones implementadas, documentos normativos, actas de las sesiones del Mecanismo de Seguimiento de las Medidas de Seguridad, Prevención y Justicia para Atender y Erradicar la Violencia contra las Niñas, Adolescentes y Mujeres y materiales informativos generados directamente por esta dependencia y encuesta de satisfacción y contador de visitas.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6" w:right="0" w:firstLine="0"/>
              <w:jc w:val="both"/>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Otras dependencias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6" w:right="0" w:firstLine="0"/>
              <w:jc w:val="both"/>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Se emplearon documentos disponibles públicamente en el micrositio, tales como:</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61" w:right="0" w:hanging="36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Informes municipales específicos (ej. CHALCO).</w:t>
            </w:r>
          </w:p>
          <w:p w:rsidR="00000000" w:rsidDel="00000000" w:rsidP="00000000" w:rsidRDefault="00000000" w:rsidRPr="00000000" w14:paraId="000001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61" w:right="0" w:hanging="36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Mapas de zonas de riesgo que elabora la Secretaría de Seguridad</w:t>
            </w: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9">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10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10">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1">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2">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3">
      <w:pPr>
        <w:rPr>
          <w:rFonts w:ascii="Palatino Linotype" w:cs="Palatino Linotype" w:eastAsia="Palatino Linotype" w:hAnsi="Palatino Linotype"/>
          <w:b w:val="1"/>
        </w:rPr>
      </w:pPr>
      <w:r w:rsidDel="00000000" w:rsidR="00000000" w:rsidRPr="00000000">
        <w:rPr>
          <w:rtl w:val="0"/>
        </w:rPr>
      </w:r>
    </w:p>
    <w:tbl>
      <w:tblPr>
        <w:tblStyle w:val="Table8"/>
        <w:tblW w:w="9735.0" w:type="dxa"/>
        <w:jc w:val="center"/>
        <w:tblLayout w:type="fixed"/>
        <w:tblLook w:val="0400"/>
      </w:tblPr>
      <w:tblGrid>
        <w:gridCol w:w="4035"/>
        <w:gridCol w:w="1560"/>
        <w:gridCol w:w="1560"/>
        <w:gridCol w:w="990"/>
        <w:gridCol w:w="1590"/>
        <w:tblGridChange w:id="0">
          <w:tblGrid>
            <w:gridCol w:w="4035"/>
            <w:gridCol w:w="1560"/>
            <w:gridCol w:w="1560"/>
            <w:gridCol w:w="990"/>
            <w:gridCol w:w="159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4">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13. ¿Se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5">
            <w:pPr>
              <w:ind w:hanging="5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7">
            <w:pPr>
              <w:ind w:left="-35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1"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9">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mencione como se ha difundido su información generada y que medios de comunicación se utilizaron ( trípticos, volantes, radio, televisión, perifoneo, redes sociales, etc):</w:t>
            </w:r>
          </w:p>
        </w:tc>
      </w:tr>
      <w:tr>
        <w:trPr>
          <w:cantSplit w:val="0"/>
          <w:trHeight w:val="221"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spacing w:after="0" w:line="240" w:lineRule="auto"/>
              <w:ind w:left="-69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18"/>
                <w:szCs w:val="18"/>
                <w:rtl w:val="0"/>
              </w:rPr>
              <w:t xml:space="preserve">Se tomaron en cuenta las características de la población objetivo principalmente mujeres, adolescentes y niñas en situación de vulnerabilidad para definir los medios de difusión de la información derivada de la práctica. La estrategia de difusión ha incluido diversos canales que permiten un mayor alcance y accesibilidad, como el micrositio de la Alerta de Violencia de Género del Estado de México, que centraliza y organiza la información institucional. Además, se ha hecho uso de redes sociales institucionales, material impreso como trípticos y carteles.   </w:t>
            </w:r>
            <w:r w:rsidDel="00000000" w:rsidR="00000000" w:rsidRPr="00000000">
              <w:rPr>
                <w:rtl w:val="0"/>
              </w:rPr>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ind w:left="-68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sz w:val="18"/>
                <w:szCs w:val="18"/>
                <w:rtl w:val="0"/>
              </w:rPr>
              <w:t xml:space="preserve">A través de la red social de esta Secretaría se difunde información. </w:t>
            </w:r>
            <w:hyperlink r:id="rId7">
              <w:r w:rsidDel="00000000" w:rsidR="00000000" w:rsidRPr="00000000">
                <w:rPr>
                  <w:rFonts w:ascii="Palatino Linotype" w:cs="Palatino Linotype" w:eastAsia="Palatino Linotype" w:hAnsi="Palatino Linotype"/>
                  <w:sz w:val="18"/>
                  <w:szCs w:val="18"/>
                  <w:rtl w:val="0"/>
                </w:rPr>
                <w:t xml:space="preserve">https://www.facebook.com/profile/100064672090236/search/?q=violencia</w:t>
              </w:r>
            </w:hyperlink>
            <w:r w:rsidDel="00000000" w:rsidR="00000000" w:rsidRPr="00000000">
              <w:rPr>
                <w:rtl w:val="0"/>
              </w:rPr>
            </w:r>
          </w:p>
        </w:tc>
      </w:tr>
    </w:tbl>
    <w:p w:rsidR="00000000" w:rsidDel="00000000" w:rsidP="00000000" w:rsidRDefault="00000000" w:rsidRPr="00000000" w14:paraId="0000012D">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9"/>
        <w:tblW w:w="9780.0" w:type="dxa"/>
        <w:jc w:val="center"/>
        <w:tblLayout w:type="fixed"/>
        <w:tblLook w:val="0400"/>
      </w:tblPr>
      <w:tblGrid>
        <w:gridCol w:w="4410"/>
        <w:gridCol w:w="1230"/>
        <w:gridCol w:w="975"/>
        <w:gridCol w:w="1305"/>
        <w:gridCol w:w="1860"/>
        <w:tblGridChange w:id="0">
          <w:tblGrid>
            <w:gridCol w:w="4410"/>
            <w:gridCol w:w="1230"/>
            <w:gridCol w:w="975"/>
            <w:gridCol w:w="1305"/>
            <w:gridCol w:w="186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E">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14. 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2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33">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indique por qué: </w:t>
            </w:r>
          </w:p>
        </w:tc>
      </w:tr>
      <w:tr>
        <w:trPr>
          <w:cantSplit w:val="0"/>
          <w:trHeight w:val="22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38">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3A">
            <w:pPr>
              <w:rPr>
                <w:rFonts w:ascii="Palatino Linotype" w:cs="Palatino Linotype" w:eastAsia="Palatino Linotype" w:hAnsi="Palatino Linotype"/>
                <w:b w:val="1"/>
              </w:rPr>
            </w:pPr>
            <w:r w:rsidDel="00000000" w:rsidR="00000000" w:rsidRPr="00000000">
              <w:rPr>
                <w:rtl w:val="0"/>
              </w:rPr>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3D">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3F">
            <w:pPr>
              <w:rPr>
                <w:rFonts w:ascii="Palatino Linotype" w:cs="Palatino Linotype" w:eastAsia="Palatino Linotype" w:hAnsi="Palatino Linotype"/>
                <w:b w:val="1"/>
              </w:rPr>
            </w:pPr>
            <w:r w:rsidDel="00000000" w:rsidR="00000000" w:rsidRPr="00000000">
              <w:rPr>
                <w:rtl w:val="0"/>
              </w:rPr>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4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44">
            <w:pPr>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147">
      <w:pPr>
        <w:rPr/>
      </w:pPr>
      <w:r w:rsidDel="00000000" w:rsidR="00000000" w:rsidRPr="00000000">
        <w:br w:type="page"/>
      </w: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tbl>
      <w:tblPr>
        <w:tblStyle w:val="Table10"/>
        <w:tblW w:w="9795.0" w:type="dxa"/>
        <w:jc w:val="center"/>
        <w:tblLayout w:type="fixed"/>
        <w:tblLook w:val="0400"/>
      </w:tblPr>
      <w:tblGrid>
        <w:gridCol w:w="4950"/>
        <w:gridCol w:w="1230"/>
        <w:gridCol w:w="975"/>
        <w:gridCol w:w="1380"/>
        <w:gridCol w:w="1260"/>
        <w:tblGridChange w:id="0">
          <w:tblGrid>
            <w:gridCol w:w="4950"/>
            <w:gridCol w:w="1230"/>
            <w:gridCol w:w="975"/>
            <w:gridCol w:w="1380"/>
            <w:gridCol w:w="1260"/>
          </w:tblGrid>
        </w:tblGridChange>
      </w:tblGrid>
      <w:tr>
        <w:trPr>
          <w:cantSplit w:val="0"/>
          <w:trHeight w:val="1319"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A">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15. ¿La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B">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D">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F">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explique el funcionamiento y uso de los mecanismos de participación (encuesta de satisfacción) utilizados:</w:t>
            </w:r>
          </w:p>
        </w:tc>
      </w:tr>
      <w:tr>
        <w:trPr>
          <w:cantSplit w:val="0"/>
          <w:trHeight w:val="221"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9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La práctica incorpora un mecanismo de participación ciudadana a través de una encuesta de satisfacción disponible en el micrositio de la Alerta de Violencia de Género contra las Mujeres del Estado de México. Esta encuesta permite a las usuarias y usuarios evaluar su experiencia en el sitio web, incluyendo aspectos como la facilidad para encontrar información, la claridad de los contenidos y la utilidad de los recursos ofrecidos. La retroalimentación recopilada mediante este instrumento es utilizada para identificar áreas de mejora y ajustar la presentación de la información, con el objetivo de hacerla más accesible y comprensible para la población, especialmente para mujeres, adolescentes y niñas en situación de vulnerabilidad.</w:t>
            </w:r>
            <w:r w:rsidDel="00000000" w:rsidR="00000000" w:rsidRPr="00000000">
              <w:rPr>
                <w:rtl w:val="0"/>
              </w:rPr>
            </w:r>
          </w:p>
        </w:tc>
      </w:tr>
      <w:tr>
        <w:trPr>
          <w:cantSplit w:val="0"/>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9">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hanging="69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Encuesta de satisfacción del micrositio de la Alerta de Violencia de Género del Estado de México: https://alertadegenero.edomex.gob.mx/encuesta-satisfaccion</w:t>
            </w:r>
            <w:r w:rsidDel="00000000" w:rsidR="00000000" w:rsidRPr="00000000">
              <w:rPr>
                <w:rtl w:val="0"/>
              </w:rPr>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spacing w:after="0" w:line="240" w:lineRule="auto"/>
              <w:ind w:left="-70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r w:rsidDel="00000000" w:rsidR="00000000" w:rsidRPr="00000000">
              <w:rPr>
                <w:rFonts w:ascii="Palatino Linotype" w:cs="Palatino Linotype" w:eastAsia="Palatino Linotype" w:hAnsi="Palatino Linotype"/>
                <w:sz w:val="18"/>
                <w:szCs w:val="18"/>
                <w:rtl w:val="0"/>
              </w:rPr>
              <w:t xml:space="preserve">Este mecanismo de participación ciudadana fortalece la transparencia proactiva al permitir una comunicación bidireccional entre la ciudadanía y las autoridades responsables de la implementación de la Alerta de Violencia de Género. Al considerar las opiniones y experiencias de las usuarias y usuarios, se promueve una mejora continua en la difusión de información y en la atención a las necesidades específicas de la población objetivo.</w:t>
            </w:r>
            <w:r w:rsidDel="00000000" w:rsidR="00000000" w:rsidRPr="00000000">
              <w:rPr>
                <w:rtl w:val="0"/>
              </w:rPr>
            </w:r>
          </w:p>
        </w:tc>
      </w:tr>
    </w:tbl>
    <w:p w:rsidR="00000000" w:rsidDel="00000000" w:rsidP="00000000" w:rsidRDefault="00000000" w:rsidRPr="00000000" w14:paraId="00000168">
      <w:pPr>
        <w:rPr>
          <w:rFonts w:ascii="Palatino Linotype" w:cs="Palatino Linotype" w:eastAsia="Palatino Linotype" w:hAnsi="Palatino Linotype"/>
          <w:b w:val="1"/>
          <w:sz w:val="4"/>
          <w:szCs w:val="4"/>
        </w:rPr>
      </w:pPr>
      <w:r w:rsidDel="00000000" w:rsidR="00000000" w:rsidRPr="00000000">
        <w:rPr>
          <w:rtl w:val="0"/>
        </w:rPr>
      </w:r>
    </w:p>
    <w:tbl>
      <w:tblPr>
        <w:tblStyle w:val="Table11"/>
        <w:tblW w:w="9780.0" w:type="dxa"/>
        <w:jc w:val="center"/>
        <w:tblLayout w:type="fixed"/>
        <w:tblLook w:val="0400"/>
      </w:tblPr>
      <w:tblGrid>
        <w:gridCol w:w="5280"/>
        <w:gridCol w:w="975"/>
        <w:gridCol w:w="1575"/>
        <w:gridCol w:w="975"/>
        <w:gridCol w:w="975"/>
        <w:tblGridChange w:id="0">
          <w:tblGrid>
            <w:gridCol w:w="5280"/>
            <w:gridCol w:w="975"/>
            <w:gridCol w:w="1575"/>
            <w:gridCol w:w="975"/>
            <w:gridCol w:w="975"/>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9">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16. ¿La práctica cuenta con algún registro del número de consultas realizadas a la información difundida? </w:t>
            </w:r>
            <w:r w:rsidDel="00000000" w:rsidR="00000000" w:rsidRPr="00000000">
              <w:rPr>
                <w:rFonts w:ascii="Palatino Linotype" w:cs="Palatino Linotype" w:eastAsia="Palatino Linotype" w:hAnsi="Palatino Linotype"/>
                <w:i w:val="1"/>
                <w:rtl w:val="0"/>
              </w:rPr>
              <w:t xml:space="preserve">(por ejemplo: número de visitas al sitio de la práctica, número de usuarios atendidos, entre otros mecanismos).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A">
            <w:pPr>
              <w:ind w:hanging="584"/>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C">
            <w:pPr>
              <w:ind w:hanging="7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16E">
      <w:pPr>
        <w:rPr/>
      </w:pPr>
      <w:r w:rsidDel="00000000" w:rsidR="00000000" w:rsidRPr="00000000">
        <w:br w:type="page"/>
      </w: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tbl>
      <w:tblPr>
        <w:tblStyle w:val="Table12"/>
        <w:tblW w:w="9780.0" w:type="dxa"/>
        <w:jc w:val="center"/>
        <w:tblLayout w:type="fixed"/>
        <w:tblLook w:val="0400"/>
      </w:tblPr>
      <w:tblGrid>
        <w:gridCol w:w="9780"/>
        <w:tblGridChange w:id="0">
          <w:tblGrid>
            <w:gridCol w:w="9780"/>
          </w:tblGrid>
        </w:tblGridChange>
      </w:tblGrid>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1">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describa el cumplimiento y uso que se le da al número de consultas  (contador de visitas) realizadas de la práctica: </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9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El micrositio de la Alerta de Violencia de Género del Estado de México cuenta con mecanismos para registrar el número de visitas realizadas por las usuarias y usuarios. Estos registros permiten monitorear el interés y la interacción de la ciudadanía con la información difundida, facilitando la evaluación de la efectividad de la práctica de transparencia proactiva. Los datos recopilados son utilizados para identificar áreas de mejora en la presentación y accesibilidad de la información, así como para fortalecer las estrategias de difusión y comunicación dirigidas a la población objetivo.</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3">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sz w:val="18"/>
                <w:szCs w:val="18"/>
                <w:rtl w:val="0"/>
              </w:rPr>
              <w:t xml:space="preserve">Micrositio de la Alerta de Violencia de Género del Estado de México:  https://alertadegenero.edomex.gob.mx/</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75">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177">
      <w:pPr>
        <w:rPr>
          <w:rFonts w:ascii="Palatino Linotype" w:cs="Palatino Linotype" w:eastAsia="Palatino Linotype" w:hAnsi="Palatino Linotype"/>
          <w:b w:val="1"/>
          <w:sz w:val="10"/>
          <w:szCs w:val="10"/>
        </w:rPr>
      </w:pPr>
      <w:bookmarkStart w:colFirst="0" w:colLast="0" w:name="_heading=h.30j0zll" w:id="7"/>
      <w:bookmarkEnd w:id="7"/>
      <w:r w:rsidDel="00000000" w:rsidR="00000000" w:rsidRPr="00000000">
        <w:rPr>
          <w:rtl w:val="0"/>
        </w:rPr>
      </w:r>
    </w:p>
    <w:tbl>
      <w:tblPr>
        <w:tblStyle w:val="Table13"/>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8">
            <w:pPr>
              <w:ind w:left="-708" w:firstLine="0"/>
              <w:rPr>
                <w:rFonts w:ascii="Palatino Linotype" w:cs="Palatino Linotype" w:eastAsia="Palatino Linotype" w:hAnsi="Palatino Linotype"/>
                <w:b w:val="1"/>
                <w:shd w:fill="e69138" w:val="clear"/>
              </w:rPr>
            </w:pPr>
            <w:r w:rsidDel="00000000" w:rsidR="00000000" w:rsidRPr="00000000">
              <w:rPr>
                <w:rFonts w:ascii="Palatino Linotype" w:cs="Palatino Linotype" w:eastAsia="Palatino Linotype" w:hAnsi="Palatino Linotype"/>
                <w:b w:val="1"/>
                <w:rtl w:val="0"/>
              </w:rPr>
              <w:t xml:space="preserve">17. Listado de soportes documentales —y en su caso hipervínculos— que se adjuntan sobre la práctica:   </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spacing w:line="240" w:lineRule="auto"/>
              <w:ind w:left="-708" w:firstLine="0"/>
              <w:rPr>
                <w:rFonts w:ascii="Palatino Linotype" w:cs="Palatino Linotype" w:eastAsia="Palatino Linotype" w:hAnsi="Palatino Linotype"/>
                <w:sz w:val="18"/>
                <w:szCs w:val="18"/>
              </w:rPr>
            </w:pPr>
            <w:hyperlink r:id="rId8">
              <w:r w:rsidDel="00000000" w:rsidR="00000000" w:rsidRPr="00000000">
                <w:rPr>
                  <w:rFonts w:ascii="Palatino Linotype" w:cs="Palatino Linotype" w:eastAsia="Palatino Linotype" w:hAnsi="Palatino Linotype"/>
                  <w:sz w:val="18"/>
                  <w:szCs w:val="18"/>
                  <w:rtl w:val="0"/>
                </w:rPr>
                <w:t xml:space="preserve">https://alertadegenero.edomex.gob.mx/</w:t>
              </w:r>
            </w:hyperlink>
            <w:r w:rsidDel="00000000" w:rsidR="00000000" w:rsidRPr="00000000">
              <w:rPr>
                <w:rtl w:val="0"/>
              </w:rPr>
            </w:r>
          </w:p>
          <w:p w:rsidR="00000000" w:rsidDel="00000000" w:rsidP="00000000" w:rsidRDefault="00000000" w:rsidRPr="00000000" w14:paraId="0000017A">
            <w:pPr>
              <w:spacing w:line="240" w:lineRule="auto"/>
              <w:ind w:left="-708" w:firstLine="0"/>
              <w:rPr>
                <w:rFonts w:ascii="Palatino Linotype" w:cs="Palatino Linotype" w:eastAsia="Palatino Linotype" w:hAnsi="Palatino Linotype"/>
                <w:sz w:val="18"/>
                <w:szCs w:val="18"/>
              </w:rPr>
            </w:pPr>
            <w:hyperlink r:id="rId9">
              <w:r w:rsidDel="00000000" w:rsidR="00000000" w:rsidRPr="00000000">
                <w:rPr>
                  <w:rFonts w:ascii="Palatino Linotype" w:cs="Palatino Linotype" w:eastAsia="Palatino Linotype" w:hAnsi="Palatino Linotype"/>
                  <w:sz w:val="18"/>
                  <w:szCs w:val="18"/>
                  <w:rtl w:val="0"/>
                </w:rPr>
                <w:t xml:space="preserve">https://alertadegenero.edomex.gob.mx/zonas_riesgo</w:t>
              </w:r>
            </w:hyperlink>
            <w:r w:rsidDel="00000000" w:rsidR="00000000" w:rsidRPr="00000000">
              <w:rPr>
                <w:rtl w:val="0"/>
              </w:rPr>
            </w:r>
          </w:p>
          <w:p w:rsidR="00000000" w:rsidDel="00000000" w:rsidP="00000000" w:rsidRDefault="00000000" w:rsidRPr="00000000" w14:paraId="0000017B">
            <w:pPr>
              <w:spacing w:line="240" w:lineRule="auto"/>
              <w:ind w:left="-708" w:firstLine="0"/>
              <w:rPr>
                <w:rFonts w:ascii="Palatino Linotype" w:cs="Palatino Linotype" w:eastAsia="Palatino Linotype" w:hAnsi="Palatino Linotype"/>
                <w:sz w:val="18"/>
                <w:szCs w:val="18"/>
              </w:rPr>
            </w:pPr>
            <w:hyperlink r:id="rId10">
              <w:r w:rsidDel="00000000" w:rsidR="00000000" w:rsidRPr="00000000">
                <w:rPr>
                  <w:rFonts w:ascii="Palatino Linotype" w:cs="Palatino Linotype" w:eastAsia="Palatino Linotype" w:hAnsi="Palatino Linotype"/>
                  <w:sz w:val="18"/>
                  <w:szCs w:val="18"/>
                  <w:rtl w:val="0"/>
                </w:rPr>
                <w:t xml:space="preserve">https://alertadegenero.edomex.gob.mx/sites/alertadegenero.edomex.gob.mx/files/files/1.%20Mapas%20de%20calor%20Chalco%20febrero%202025.pdf</w:t>
              </w:r>
            </w:hyperlink>
            <w:r w:rsidDel="00000000" w:rsidR="00000000" w:rsidRPr="00000000">
              <w:rPr>
                <w:rtl w:val="0"/>
              </w:rPr>
            </w:r>
          </w:p>
          <w:p w:rsidR="00000000" w:rsidDel="00000000" w:rsidP="00000000" w:rsidRDefault="00000000" w:rsidRPr="00000000" w14:paraId="0000017C">
            <w:pPr>
              <w:spacing w:line="240" w:lineRule="auto"/>
              <w:ind w:left="-708" w:firstLine="0"/>
              <w:rPr>
                <w:rFonts w:ascii="Palatino Linotype" w:cs="Palatino Linotype" w:eastAsia="Palatino Linotype" w:hAnsi="Palatino Linotype"/>
                <w:sz w:val="18"/>
                <w:szCs w:val="18"/>
              </w:rPr>
            </w:pPr>
            <w:hyperlink r:id="rId11">
              <w:r w:rsidDel="00000000" w:rsidR="00000000" w:rsidRPr="00000000">
                <w:rPr>
                  <w:rFonts w:ascii="Palatino Linotype" w:cs="Palatino Linotype" w:eastAsia="Palatino Linotype" w:hAnsi="Palatino Linotype"/>
                  <w:sz w:val="18"/>
                  <w:szCs w:val="18"/>
                  <w:rtl w:val="0"/>
                </w:rPr>
                <w:t xml:space="preserve">https://alertadegenero.edomex.gob.mx/chalco</w:t>
              </w:r>
            </w:hyperlink>
            <w:r w:rsidDel="00000000" w:rsidR="00000000" w:rsidRPr="00000000">
              <w:rPr>
                <w:rtl w:val="0"/>
              </w:rPr>
            </w:r>
          </w:p>
          <w:p w:rsidR="00000000" w:rsidDel="00000000" w:rsidP="00000000" w:rsidRDefault="00000000" w:rsidRPr="00000000" w14:paraId="0000017D">
            <w:pPr>
              <w:spacing w:line="240" w:lineRule="auto"/>
              <w:ind w:left="-708" w:firstLine="0"/>
              <w:rPr>
                <w:rFonts w:ascii="Palatino Linotype" w:cs="Palatino Linotype" w:eastAsia="Palatino Linotype" w:hAnsi="Palatino Linotype"/>
                <w:sz w:val="18"/>
                <w:szCs w:val="18"/>
              </w:rPr>
            </w:pPr>
            <w:hyperlink r:id="rId12">
              <w:r w:rsidDel="00000000" w:rsidR="00000000" w:rsidRPr="00000000">
                <w:rPr>
                  <w:rFonts w:ascii="Palatino Linotype" w:cs="Palatino Linotype" w:eastAsia="Palatino Linotype" w:hAnsi="Palatino Linotype"/>
                  <w:sz w:val="18"/>
                  <w:szCs w:val="18"/>
                  <w:rtl w:val="0"/>
                </w:rPr>
                <w:t xml:space="preserve">https://alertadegenero.edomex.gob.mx/acciones</w:t>
              </w:r>
            </w:hyperlink>
            <w:r w:rsidDel="00000000" w:rsidR="00000000" w:rsidRPr="00000000">
              <w:rPr>
                <w:rtl w:val="0"/>
              </w:rPr>
            </w:r>
          </w:p>
          <w:p w:rsidR="00000000" w:rsidDel="00000000" w:rsidP="00000000" w:rsidRDefault="00000000" w:rsidRPr="00000000" w14:paraId="0000017E">
            <w:pPr>
              <w:spacing w:line="240" w:lineRule="auto"/>
              <w:ind w:left="-708" w:firstLine="0"/>
              <w:rPr>
                <w:rFonts w:ascii="Palatino Linotype" w:cs="Palatino Linotype" w:eastAsia="Palatino Linotype" w:hAnsi="Palatino Linotype"/>
                <w:sz w:val="18"/>
                <w:szCs w:val="18"/>
              </w:rPr>
            </w:pPr>
            <w:hyperlink r:id="rId13">
              <w:r w:rsidDel="00000000" w:rsidR="00000000" w:rsidRPr="00000000">
                <w:rPr>
                  <w:rFonts w:ascii="Palatino Linotype" w:cs="Palatino Linotype" w:eastAsia="Palatino Linotype" w:hAnsi="Palatino Linotype"/>
                  <w:sz w:val="18"/>
                  <w:szCs w:val="18"/>
                  <w:rtl w:val="0"/>
                </w:rPr>
                <w:t xml:space="preserve">https://alertadegenero.edomex.gob.mx/municipios_alerta</w:t>
              </w:r>
            </w:hyperlink>
            <w:r w:rsidDel="00000000" w:rsidR="00000000" w:rsidRPr="00000000">
              <w:rPr>
                <w:rtl w:val="0"/>
              </w:rPr>
            </w:r>
          </w:p>
          <w:p w:rsidR="00000000" w:rsidDel="00000000" w:rsidP="00000000" w:rsidRDefault="00000000" w:rsidRPr="00000000" w14:paraId="0000017F">
            <w:pPr>
              <w:spacing w:line="240" w:lineRule="auto"/>
              <w:ind w:left="-708" w:firstLine="0"/>
              <w:rPr>
                <w:rFonts w:ascii="Palatino Linotype" w:cs="Palatino Linotype" w:eastAsia="Palatino Linotype" w:hAnsi="Palatino Linotype"/>
                <w:sz w:val="18"/>
                <w:szCs w:val="18"/>
              </w:rPr>
            </w:pPr>
            <w:hyperlink r:id="rId14">
              <w:r w:rsidDel="00000000" w:rsidR="00000000" w:rsidRPr="00000000">
                <w:rPr>
                  <w:rFonts w:ascii="Palatino Linotype" w:cs="Palatino Linotype" w:eastAsia="Palatino Linotype" w:hAnsi="Palatino Linotype"/>
                  <w:sz w:val="18"/>
                  <w:szCs w:val="18"/>
                  <w:rtl w:val="0"/>
                </w:rPr>
                <w:t xml:space="preserve">https://alertadegenero.edomex.gob.mx/sites/alertadegenero.edomex.gob.mx/files/files/Presupuesto%20asignado%2C%20ejercido%20y%20reintegrado%20a%20los%20municpios%20con%20AVGM.pdf</w:t>
              </w:r>
            </w:hyperlink>
            <w:r w:rsidDel="00000000" w:rsidR="00000000" w:rsidRPr="00000000">
              <w:rPr>
                <w:rtl w:val="0"/>
              </w:rPr>
            </w:r>
          </w:p>
          <w:p w:rsidR="00000000" w:rsidDel="00000000" w:rsidP="00000000" w:rsidRDefault="00000000" w:rsidRPr="00000000" w14:paraId="00000180">
            <w:pPr>
              <w:spacing w:line="240" w:lineRule="auto"/>
              <w:ind w:left="-708" w:firstLine="0"/>
              <w:rPr>
                <w:rFonts w:ascii="Palatino Linotype" w:cs="Palatino Linotype" w:eastAsia="Palatino Linotype" w:hAnsi="Palatino Linotype"/>
                <w:b w:val="1"/>
              </w:rPr>
            </w:pPr>
            <w:hyperlink r:id="rId15">
              <w:r w:rsidDel="00000000" w:rsidR="00000000" w:rsidRPr="00000000">
                <w:rPr>
                  <w:rFonts w:ascii="Palatino Linotype" w:cs="Palatino Linotype" w:eastAsia="Palatino Linotype" w:hAnsi="Palatino Linotype"/>
                  <w:sz w:val="18"/>
                  <w:szCs w:val="18"/>
                  <w:rtl w:val="0"/>
                </w:rPr>
                <w:t xml:space="preserve">https://alertadegenero.edomex.gob.mx/sites/alertadegenero.edomex.gob.mx/files/files/ACUERDO%20DE%20LA%20SECRETAR%C3%8DA%20DE%20LAS%20MUJERES%20POR%20EL%20QUE%20SE%20ESTABLECEN%20LOS%20MECANISMOS%20DE%20OPERACI%C3%93N%20PARA%20LA%20EJECUCI%C3%93N%20DE%20LOS%20RECURSOS%20ASIGNADOS%20PARA%20ATENDER%20LAS%20DECLARATORIAS%20DE%20ALERTA%20DE%20VIOLENCIA%20DE%20G%C3%89NERO%20POR%20FEMIN.pdf</w:t>
              </w:r>
            </w:hyperlink>
            <w:r w:rsidDel="00000000" w:rsidR="00000000" w:rsidRPr="00000000">
              <w:rPr>
                <w:rtl w:val="0"/>
              </w:rPr>
            </w:r>
          </w:p>
        </w:tc>
      </w:tr>
    </w:tbl>
    <w:p w:rsidR="00000000" w:rsidDel="00000000" w:rsidP="00000000" w:rsidRDefault="00000000" w:rsidRPr="00000000" w14:paraId="00000181">
      <w:pPr>
        <w:ind w:left="-708" w:firstLine="0"/>
        <w:rPr>
          <w:rFonts w:ascii="Palatino Linotype" w:cs="Palatino Linotype" w:eastAsia="Palatino Linotype" w:hAnsi="Palatino Linotype"/>
          <w:b w:val="1"/>
          <w:sz w:val="12"/>
          <w:szCs w:val="12"/>
        </w:rPr>
      </w:pPr>
      <w:r w:rsidDel="00000000" w:rsidR="00000000" w:rsidRPr="00000000">
        <w:rPr>
          <w:rtl w:val="0"/>
        </w:rPr>
      </w:r>
    </w:p>
    <w:p w:rsidR="00000000" w:rsidDel="00000000" w:rsidP="00000000" w:rsidRDefault="00000000" w:rsidRPr="00000000" w14:paraId="00000182">
      <w:pPr>
        <w:ind w:left="-708" w:firstLine="0"/>
        <w:rPr>
          <w:rFonts w:ascii="Palatino Linotype" w:cs="Palatino Linotype" w:eastAsia="Palatino Linotype" w:hAnsi="Palatino Linotype"/>
          <w:b w:val="1"/>
          <w:sz w:val="12"/>
          <w:szCs w:val="12"/>
        </w:rPr>
      </w:pPr>
      <w:r w:rsidDel="00000000" w:rsidR="00000000" w:rsidRPr="00000000">
        <w:rPr>
          <w:rtl w:val="0"/>
        </w:rPr>
      </w:r>
    </w:p>
    <w:p w:rsidR="00000000" w:rsidDel="00000000" w:rsidP="00000000" w:rsidRDefault="00000000" w:rsidRPr="00000000" w14:paraId="00000183">
      <w:pPr>
        <w:ind w:left="-708" w:firstLine="0"/>
        <w:rPr>
          <w:rFonts w:ascii="Palatino Linotype" w:cs="Palatino Linotype" w:eastAsia="Palatino Linotype" w:hAnsi="Palatino Linotype"/>
          <w:b w:val="1"/>
          <w:sz w:val="12"/>
          <w:szCs w:val="12"/>
        </w:rPr>
      </w:pPr>
      <w:r w:rsidDel="00000000" w:rsidR="00000000" w:rsidRPr="00000000">
        <w:rPr>
          <w:rtl w:val="0"/>
        </w:rPr>
      </w:r>
    </w:p>
    <w:p w:rsidR="00000000" w:rsidDel="00000000" w:rsidP="00000000" w:rsidRDefault="00000000" w:rsidRPr="00000000" w14:paraId="00000184">
      <w:pPr>
        <w:ind w:left="-708" w:firstLine="0"/>
        <w:rPr>
          <w:rFonts w:ascii="Palatino Linotype" w:cs="Palatino Linotype" w:eastAsia="Palatino Linotype" w:hAnsi="Palatino Linotype"/>
          <w:b w:val="1"/>
          <w:sz w:val="12"/>
          <w:szCs w:val="12"/>
        </w:rPr>
      </w:pPr>
      <w:r w:rsidDel="00000000" w:rsidR="00000000" w:rsidRPr="00000000">
        <w:rPr>
          <w:rtl w:val="0"/>
        </w:rPr>
      </w:r>
    </w:p>
    <w:tbl>
      <w:tblPr>
        <w:tblStyle w:val="Table14"/>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5">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18. En caso de ser una práctica que se presente por segunda ocasión, describa la innovación con la que cuenta para este ejercicio.</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spacing w:after="0" w:line="240" w:lineRule="auto"/>
              <w:ind w:left="-69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18"/>
                <w:szCs w:val="18"/>
                <w:rtl w:val="0"/>
              </w:rPr>
              <w:t xml:space="preserve">Para el ejercicio 2025, la práctica de publicación de información relativa a la Alerta de Violencia de Género en el Estado de México incorporó dos elementos: la encuesta de satisfacción ciudadana y el contador de visitas al micrositio. Estas herramientas permiten fortalecer la transparencia proactiva y la participación ciudadana, al ofrecer mecanismos de retroalimentación directa por parte de la población usuaria, así como monitorear el alcance y uso de la información difundida. Ambas innovaciones contribuyen a la mejora continua de la práctica y a la toma de decisiones basadas en evidencia.</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87">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numPr>
                <w:ilvl w:val="0"/>
                <w:numId w:val="1"/>
              </w:numPr>
              <w:spacing w:after="0" w:line="240" w:lineRule="auto"/>
              <w:ind w:left="714" w:hanging="357"/>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Encuesta de satisfacción ciudadana: </w:t>
            </w:r>
            <w:hyperlink r:id="rId16">
              <w:r w:rsidDel="00000000" w:rsidR="00000000" w:rsidRPr="00000000">
                <w:rPr>
                  <w:rFonts w:ascii="Palatino Linotype" w:cs="Palatino Linotype" w:eastAsia="Palatino Linotype" w:hAnsi="Palatino Linotype"/>
                  <w:sz w:val="18"/>
                  <w:szCs w:val="18"/>
                  <w:rtl w:val="0"/>
                </w:rPr>
                <w:t xml:space="preserve">https://alertadegenero.edomex.gob.mx/encuesta-satisfaccion</w:t>
              </w:r>
            </w:hyperlink>
            <w:r w:rsidDel="00000000" w:rsidR="00000000" w:rsidRPr="00000000">
              <w:rPr>
                <w:rtl w:val="0"/>
              </w:rPr>
            </w:r>
          </w:p>
          <w:p w:rsidR="00000000" w:rsidDel="00000000" w:rsidP="00000000" w:rsidRDefault="00000000" w:rsidRPr="00000000" w14:paraId="00000189">
            <w:pPr>
              <w:numPr>
                <w:ilvl w:val="0"/>
                <w:numId w:val="1"/>
              </w:numPr>
              <w:spacing w:after="0" w:line="240" w:lineRule="auto"/>
              <w:ind w:left="714" w:hanging="357"/>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Contador de visitas (visible en el pie de página del micrositio): </w:t>
            </w:r>
            <w:hyperlink r:id="rId17">
              <w:r w:rsidDel="00000000" w:rsidR="00000000" w:rsidRPr="00000000">
                <w:rPr>
                  <w:rFonts w:ascii="Palatino Linotype" w:cs="Palatino Linotype" w:eastAsia="Palatino Linotype" w:hAnsi="Palatino Linotype"/>
                  <w:sz w:val="18"/>
                  <w:szCs w:val="18"/>
                  <w:rtl w:val="0"/>
                </w:rPr>
                <w:t xml:space="preserve">https://alertadegenero.edomex.gob.mx</w:t>
              </w:r>
            </w:hyperlink>
            <w:r w:rsidDel="00000000" w:rsidR="00000000" w:rsidRPr="00000000">
              <w:rPr>
                <w:rtl w:val="0"/>
              </w:rPr>
            </w:r>
          </w:p>
        </w:tc>
      </w:tr>
    </w:tbl>
    <w:p w:rsidR="00000000" w:rsidDel="00000000" w:rsidP="00000000" w:rsidRDefault="00000000" w:rsidRPr="00000000" w14:paraId="0000018A">
      <w:pPr>
        <w:rPr>
          <w:rFonts w:ascii="Palatino Linotype" w:cs="Palatino Linotype" w:eastAsia="Palatino Linotype" w:hAnsi="Palatino Linotype"/>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5840" w:w="12240" w:orient="portrait"/>
      <w:pgMar w:bottom="3261"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-1038222</wp:posOffset>
          </wp:positionH>
          <wp:positionV relativeFrom="paragraph">
            <wp:posOffset>-438147</wp:posOffset>
          </wp:positionV>
          <wp:extent cx="7762875" cy="10023158"/>
          <wp:effectExtent b="0" l="0" r="0" t="0"/>
          <wp:wrapNone/>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762875" cy="10023158"/>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c"/>
    <w:tblPr>
      <w:tblStyleRowBandSize w:val="1"/>
      <w:tblStyleColBandSize w:val="1"/>
      <w:tblCellMar>
        <w:top w:w="41.0" w:type="dxa"/>
        <w:left w:w="106.0" w:type="dxa"/>
        <w:right w:w="67.0" w:type="dxa"/>
      </w:tblCellMar>
    </w:tblPr>
  </w:style>
  <w:style w:type="table" w:styleId="a0" w:customStyle="1">
    <w:basedOn w:val="TableNormalc"/>
    <w:tblPr>
      <w:tblStyleRowBandSize w:val="1"/>
      <w:tblStyleColBandSize w:val="1"/>
      <w:tblCellMar>
        <w:top w:w="41.0" w:type="dxa"/>
        <w:left w:w="107.0" w:type="dxa"/>
        <w:right w:w="73.0" w:type="dxa"/>
      </w:tblCellMar>
    </w:tblPr>
  </w:style>
  <w:style w:type="table" w:styleId="a1" w:customStyle="1">
    <w:basedOn w:val="TableNormalc"/>
    <w:tblPr>
      <w:tblStyleRowBandSize w:val="1"/>
      <w:tblStyleColBandSize w:val="1"/>
      <w:tblCellMar>
        <w:top w:w="41.0" w:type="dxa"/>
        <w:right w:w="60.0" w:type="dxa"/>
      </w:tblCellMar>
    </w:tblPr>
  </w:style>
  <w:style w:type="table" w:styleId="a2" w:customStyle="1">
    <w:basedOn w:val="TableNormalc"/>
    <w:tblPr>
      <w:tblStyleRowBandSize w:val="1"/>
      <w:tblStyleColBandSize w:val="1"/>
      <w:tblCellMar>
        <w:top w:w="41.0" w:type="dxa"/>
        <w:right w:w="62.0" w:type="dxa"/>
      </w:tblCellMar>
    </w:tblPr>
  </w:style>
  <w:style w:type="table" w:styleId="a3" w:customStyle="1">
    <w:basedOn w:val="TableNormalc"/>
    <w:tblPr>
      <w:tblStyleRowBandSize w:val="1"/>
      <w:tblStyleColBandSize w:val="1"/>
      <w:tblCellMar>
        <w:top w:w="41.0" w:type="dxa"/>
        <w:left w:w="107.0" w:type="dxa"/>
        <w:right w:w="70.0" w:type="dxa"/>
      </w:tblCellMar>
    </w:tblPr>
  </w:style>
  <w:style w:type="table" w:styleId="a4" w:customStyle="1">
    <w:basedOn w:val="TableNormalc"/>
    <w:tblPr>
      <w:tblStyleRowBandSize w:val="1"/>
      <w:tblStyleColBandSize w:val="1"/>
      <w:tblCellMar>
        <w:top w:w="40.0" w:type="dxa"/>
        <w:right w:w="26.0" w:type="dxa"/>
      </w:tblCellMar>
    </w:tblPr>
  </w:style>
  <w:style w:type="table" w:styleId="a5" w:customStyle="1">
    <w:basedOn w:val="TableNormalc"/>
    <w:tblPr>
      <w:tblStyleRowBandSize w:val="1"/>
      <w:tblStyleColBandSize w:val="1"/>
      <w:tblCellMar>
        <w:top w:w="41.0" w:type="dxa"/>
        <w:left w:w="107.0" w:type="dxa"/>
        <w:right w:w="71.0" w:type="dxa"/>
      </w:tblCellMar>
    </w:tblPr>
  </w:style>
  <w:style w:type="table" w:styleId="a6" w:customStyle="1">
    <w:basedOn w:val="TableNormalc"/>
    <w:tblPr>
      <w:tblStyleRowBandSize w:val="1"/>
      <w:tblStyleColBandSize w:val="1"/>
      <w:tblCellMar>
        <w:top w:w="40.0" w:type="dxa"/>
        <w:right w:w="12.0" w:type="dxa"/>
      </w:tblCellMar>
    </w:tblPr>
  </w:style>
  <w:style w:type="table" w:styleId="a7" w:customStyle="1">
    <w:basedOn w:val="TableNormalc"/>
    <w:tblPr>
      <w:tblStyleRowBandSize w:val="1"/>
      <w:tblStyleColBandSize w:val="1"/>
      <w:tblCellMar>
        <w:top w:w="41.0" w:type="dxa"/>
        <w:left w:w="107.0" w:type="dxa"/>
        <w:right w:w="69.0" w:type="dxa"/>
      </w:tblCellMar>
    </w:tblPr>
  </w:style>
  <w:style w:type="table" w:styleId="a8" w:customStyle="1">
    <w:basedOn w:val="TableNormalc"/>
    <w:tblPr>
      <w:tblStyleRowBandSize w:val="1"/>
      <w:tblStyleColBandSize w:val="1"/>
      <w:tblCellMar>
        <w:top w:w="41.0" w:type="dxa"/>
        <w:left w:w="107.0" w:type="dxa"/>
        <w:right w:w="70.0" w:type="dxa"/>
      </w:tblCellMar>
    </w:tblPr>
  </w:style>
  <w:style w:type="table" w:styleId="a9" w:customStyle="1">
    <w:basedOn w:val="TableNormalc"/>
    <w:tblPr>
      <w:tblStyleRowBandSize w:val="1"/>
      <w:tblStyleColBandSize w:val="1"/>
      <w:tblCellMar>
        <w:top w:w="41.0" w:type="dxa"/>
        <w:left w:w="107.0" w:type="dxa"/>
        <w:right w:w="67.0" w:type="dxa"/>
      </w:tblCellMar>
    </w:tblPr>
  </w:style>
  <w:style w:type="table" w:styleId="aa" w:customStyle="1">
    <w:basedOn w:val="TableNormalc"/>
    <w:tblPr>
      <w:tblStyleRowBandSize w:val="1"/>
      <w:tblStyleColBandSize w:val="1"/>
      <w:tblCellMar>
        <w:top w:w="41.0" w:type="dxa"/>
        <w:left w:w="107.0" w:type="dxa"/>
        <w:right w:w="70.0" w:type="dxa"/>
      </w:tblCellMar>
    </w:tblPr>
  </w:style>
  <w:style w:type="table" w:styleId="ab" w:customStyle="1">
    <w:basedOn w:val="TableNormalc"/>
    <w:tblPr>
      <w:tblStyleRowBandSize w:val="1"/>
      <w:tblStyleColBandSize w:val="1"/>
      <w:tblCellMar>
        <w:top w:w="41.0" w:type="dxa"/>
        <w:left w:w="107.0" w:type="dxa"/>
        <w:right w:w="71.0" w:type="dxa"/>
      </w:tblCellMar>
    </w:tblPr>
  </w:style>
  <w:style w:type="table" w:styleId="ac" w:customStyle="1">
    <w:basedOn w:val="TableNormalc"/>
    <w:tblPr>
      <w:tblStyleRowBandSize w:val="1"/>
      <w:tblStyleColBandSize w:val="1"/>
      <w:tblCellMar>
        <w:top w:w="41.0" w:type="dxa"/>
        <w:left w:w="827.0" w:type="dxa"/>
        <w:right w:w="115.0" w:type="dxa"/>
      </w:tblCellMar>
    </w:tblPr>
  </w:style>
  <w:style w:type="table" w:styleId="ad" w:customStyle="1">
    <w:basedOn w:val="TableNormalc"/>
    <w:tblPr>
      <w:tblStyleRowBandSize w:val="1"/>
      <w:tblStyleColBandSize w:val="1"/>
      <w:tblCellMar>
        <w:top w:w="41.0" w:type="dxa"/>
        <w:left w:w="827.0" w:type="dxa"/>
        <w:right w:w="115.0" w:type="dxa"/>
      </w:tblCellMar>
    </w:tblPr>
  </w:style>
  <w:style w:type="table" w:styleId="ae" w:customStyle="1">
    <w:basedOn w:val="TableNormalc"/>
    <w:tblPr>
      <w:tblStyleRowBandSize w:val="1"/>
      <w:tblStyleColBandSize w:val="1"/>
      <w:tblCellMar>
        <w:top w:w="41.0" w:type="dxa"/>
        <w:left w:w="827.0" w:type="dxa"/>
        <w:right w:w="115.0" w:type="dxa"/>
      </w:tblCellMar>
    </w:tblPr>
  </w:style>
  <w:style w:type="table" w:styleId="af" w:customStyle="1">
    <w:basedOn w:val="TableNormalc"/>
    <w:tblPr>
      <w:tblStyleRowBandSize w:val="1"/>
      <w:tblStyleColBandSize w:val="1"/>
      <w:tblCellMar>
        <w:top w:w="41.0" w:type="dxa"/>
        <w:left w:w="827.0" w:type="dxa"/>
        <w:right w:w="115.0" w:type="dxa"/>
      </w:tblCellMar>
    </w:tblPr>
  </w:style>
  <w:style w:type="table" w:styleId="af0" w:customStyle="1">
    <w:basedOn w:val="TableNormalc"/>
    <w:tblPr>
      <w:tblStyleRowBandSize w:val="1"/>
      <w:tblStyleColBandSize w:val="1"/>
      <w:tblCellMar>
        <w:top w:w="41.0" w:type="dxa"/>
        <w:left w:w="827.0" w:type="dxa"/>
        <w:right w:w="115.0" w:type="dxa"/>
      </w:tblCellMar>
    </w:tblPr>
  </w:style>
  <w:style w:type="table" w:styleId="af1" w:customStyle="1">
    <w:basedOn w:val="TableNormalc"/>
    <w:tblPr>
      <w:tblStyleRowBandSize w:val="1"/>
      <w:tblStyleColBandSize w:val="1"/>
      <w:tblCellMar>
        <w:top w:w="41.0" w:type="dxa"/>
        <w:left w:w="827.0" w:type="dxa"/>
        <w:right w:w="115.0" w:type="dxa"/>
      </w:tblCellMar>
    </w:tblPr>
  </w:style>
  <w:style w:type="table" w:styleId="af2" w:customStyle="1">
    <w:basedOn w:val="TableNormalc"/>
    <w:tblPr>
      <w:tblStyleRowBandSize w:val="1"/>
      <w:tblStyleColBandSize w:val="1"/>
      <w:tblCellMar>
        <w:top w:w="41.0" w:type="dxa"/>
        <w:left w:w="827.0" w:type="dxa"/>
        <w:right w:w="115.0" w:type="dxa"/>
      </w:tblCellMar>
    </w:tblPr>
  </w:style>
  <w:style w:type="table" w:styleId="af3" w:customStyle="1">
    <w:basedOn w:val="TableNormalc"/>
    <w:tblPr>
      <w:tblStyleRowBandSize w:val="1"/>
      <w:tblStyleColBandSize w:val="1"/>
      <w:tblCellMar>
        <w:top w:w="41.0" w:type="dxa"/>
        <w:left w:w="827.0" w:type="dxa"/>
        <w:right w:w="115.0" w:type="dxa"/>
      </w:tblCellMar>
    </w:tblPr>
  </w:style>
  <w:style w:type="table" w:styleId="af4" w:customStyle="1">
    <w:basedOn w:val="TableNormalc"/>
    <w:tblPr>
      <w:tblStyleRowBandSize w:val="1"/>
      <w:tblStyleColBandSize w:val="1"/>
      <w:tblCellMar>
        <w:top w:w="41.0" w:type="dxa"/>
        <w:left w:w="827.0" w:type="dxa"/>
        <w:right w:w="115.0" w:type="dxa"/>
      </w:tblCellMar>
    </w:tblPr>
  </w:style>
  <w:style w:type="table" w:styleId="af5" w:customStyle="1">
    <w:basedOn w:val="TableNormalc"/>
    <w:tblPr>
      <w:tblStyleRowBandSize w:val="1"/>
      <w:tblStyleColBandSize w:val="1"/>
      <w:tblCellMar>
        <w:top w:w="41.0" w:type="dxa"/>
        <w:left w:w="827.0" w:type="dxa"/>
        <w:right w:w="115.0" w:type="dxa"/>
      </w:tblCellMar>
    </w:tblPr>
  </w:style>
  <w:style w:type="table" w:styleId="af6" w:customStyle="1">
    <w:basedOn w:val="TableNormalc"/>
    <w:tblPr>
      <w:tblStyleRowBandSize w:val="1"/>
      <w:tblStyleColBandSize w:val="1"/>
      <w:tblCellMar>
        <w:top w:w="41.0" w:type="dxa"/>
        <w:left w:w="827.0" w:type="dxa"/>
        <w:right w:w="115.0" w:type="dxa"/>
      </w:tblCellMar>
    </w:tblPr>
  </w:style>
  <w:style w:type="table" w:styleId="af7" w:customStyle="1">
    <w:basedOn w:val="TableNormalc"/>
    <w:tblPr>
      <w:tblStyleRowBandSize w:val="1"/>
      <w:tblStyleColBandSize w:val="1"/>
      <w:tblCellMar>
        <w:top w:w="41.0" w:type="dxa"/>
        <w:left w:w="827.0" w:type="dxa"/>
        <w:right w:w="115.0" w:type="dxa"/>
      </w:tblCellMar>
    </w:tblPr>
  </w:style>
  <w:style w:type="table" w:styleId="af8" w:customStyle="1">
    <w:basedOn w:val="TableNormalc"/>
    <w:tblPr>
      <w:tblStyleRowBandSize w:val="1"/>
      <w:tblStyleColBandSize w:val="1"/>
      <w:tblCellMar>
        <w:top w:w="41.0" w:type="dxa"/>
        <w:left w:w="827.0" w:type="dxa"/>
        <w:right w:w="115.0" w:type="dxa"/>
      </w:tblCellMar>
    </w:tblPr>
  </w:style>
  <w:style w:type="table" w:styleId="af9" w:customStyle="1">
    <w:basedOn w:val="TableNormalc"/>
    <w:tblPr>
      <w:tblStyleRowBandSize w:val="1"/>
      <w:tblStyleColBandSize w:val="1"/>
      <w:tblCellMar>
        <w:top w:w="41.0" w:type="dxa"/>
        <w:left w:w="827.0" w:type="dxa"/>
        <w:right w:w="115.0" w:type="dxa"/>
      </w:tblCellMar>
    </w:tblPr>
  </w:style>
  <w:style w:type="table" w:styleId="afa" w:customStyle="1">
    <w:basedOn w:val="TableNormalc"/>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b"/>
    <w:tblPr>
      <w:tblStyleRowBandSize w:val="1"/>
      <w:tblStyleColBandSize w:val="1"/>
      <w:tblCellMar>
        <w:top w:w="41.0" w:type="dxa"/>
        <w:left w:w="827.0" w:type="dxa"/>
        <w:right w:w="115.0" w:type="dxa"/>
      </w:tblCellMar>
    </w:tblPr>
  </w:style>
  <w:style w:type="table" w:styleId="afc" w:customStyle="1">
    <w:basedOn w:val="TableNormalb"/>
    <w:tblPr>
      <w:tblStyleRowBandSize w:val="1"/>
      <w:tblStyleColBandSize w:val="1"/>
      <w:tblCellMar>
        <w:top w:w="41.0" w:type="dxa"/>
        <w:left w:w="827.0" w:type="dxa"/>
        <w:right w:w="115.0" w:type="dxa"/>
      </w:tblCellMar>
    </w:tblPr>
  </w:style>
  <w:style w:type="table" w:styleId="afd" w:customStyle="1">
    <w:basedOn w:val="TableNormalb"/>
    <w:tblPr>
      <w:tblStyleRowBandSize w:val="1"/>
      <w:tblStyleColBandSize w:val="1"/>
      <w:tblCellMar>
        <w:top w:w="41.0" w:type="dxa"/>
        <w:left w:w="827.0" w:type="dxa"/>
        <w:right w:w="115.0" w:type="dxa"/>
      </w:tblCellMar>
    </w:tblPr>
  </w:style>
  <w:style w:type="table" w:styleId="afe" w:customStyle="1">
    <w:basedOn w:val="TableNormalb"/>
    <w:tblPr>
      <w:tblStyleRowBandSize w:val="1"/>
      <w:tblStyleColBandSize w:val="1"/>
      <w:tblCellMar>
        <w:top w:w="41.0" w:type="dxa"/>
        <w:left w:w="827.0" w:type="dxa"/>
        <w:right w:w="115.0" w:type="dxa"/>
      </w:tblCellMar>
    </w:tblPr>
  </w:style>
  <w:style w:type="table" w:styleId="aff" w:customStyle="1">
    <w:basedOn w:val="TableNormalb"/>
    <w:tblPr>
      <w:tblStyleRowBandSize w:val="1"/>
      <w:tblStyleColBandSize w:val="1"/>
      <w:tblCellMar>
        <w:top w:w="41.0" w:type="dxa"/>
        <w:left w:w="827.0" w:type="dxa"/>
        <w:right w:w="115.0" w:type="dxa"/>
      </w:tblCellMar>
    </w:tblPr>
  </w:style>
  <w:style w:type="table" w:styleId="aff0" w:customStyle="1">
    <w:basedOn w:val="TableNormalb"/>
    <w:tblPr>
      <w:tblStyleRowBandSize w:val="1"/>
      <w:tblStyleColBandSize w:val="1"/>
      <w:tblCellMar>
        <w:top w:w="41.0" w:type="dxa"/>
        <w:left w:w="827.0" w:type="dxa"/>
        <w:right w:w="115.0" w:type="dxa"/>
      </w:tblCellMar>
    </w:tblPr>
  </w:style>
  <w:style w:type="table" w:styleId="aff1" w:customStyle="1">
    <w:basedOn w:val="TableNormalb"/>
    <w:tblPr>
      <w:tblStyleRowBandSize w:val="1"/>
      <w:tblStyleColBandSize w:val="1"/>
      <w:tblCellMar>
        <w:top w:w="41.0" w:type="dxa"/>
        <w:left w:w="827.0" w:type="dxa"/>
        <w:right w:w="115.0" w:type="dxa"/>
      </w:tblCellMar>
    </w:tblPr>
  </w:style>
  <w:style w:type="table" w:styleId="aff2" w:customStyle="1">
    <w:basedOn w:val="TableNormalb"/>
    <w:tblPr>
      <w:tblStyleRowBandSize w:val="1"/>
      <w:tblStyleColBandSize w:val="1"/>
      <w:tblCellMar>
        <w:top w:w="41.0" w:type="dxa"/>
        <w:left w:w="827.0" w:type="dxa"/>
        <w:right w:w="115.0" w:type="dxa"/>
      </w:tblCellMar>
    </w:tblPr>
  </w:style>
  <w:style w:type="table" w:styleId="aff3" w:customStyle="1">
    <w:basedOn w:val="TableNormalb"/>
    <w:tblPr>
      <w:tblStyleRowBandSize w:val="1"/>
      <w:tblStyleColBandSize w:val="1"/>
      <w:tblCellMar>
        <w:top w:w="41.0" w:type="dxa"/>
        <w:left w:w="827.0" w:type="dxa"/>
        <w:right w:w="115.0" w:type="dxa"/>
      </w:tblCellMar>
    </w:tblPr>
  </w:style>
  <w:style w:type="table" w:styleId="aff4" w:customStyle="1">
    <w:basedOn w:val="TableNormalb"/>
    <w:tblPr>
      <w:tblStyleRowBandSize w:val="1"/>
      <w:tblStyleColBandSize w:val="1"/>
      <w:tblCellMar>
        <w:top w:w="41.0" w:type="dxa"/>
        <w:left w:w="827.0" w:type="dxa"/>
        <w:right w:w="115.0" w:type="dxa"/>
      </w:tblCellMar>
    </w:tblPr>
  </w:style>
  <w:style w:type="table" w:styleId="aff5" w:customStyle="1">
    <w:basedOn w:val="TableNormalb"/>
    <w:tblPr>
      <w:tblStyleRowBandSize w:val="1"/>
      <w:tblStyleColBandSize w:val="1"/>
      <w:tblCellMar>
        <w:top w:w="41.0" w:type="dxa"/>
        <w:left w:w="827.0" w:type="dxa"/>
        <w:right w:w="115.0" w:type="dxa"/>
      </w:tblCellMar>
    </w:tblPr>
  </w:style>
  <w:style w:type="table" w:styleId="aff6" w:customStyle="1">
    <w:basedOn w:val="TableNormalb"/>
    <w:tblPr>
      <w:tblStyleRowBandSize w:val="1"/>
      <w:tblStyleColBandSize w:val="1"/>
      <w:tblCellMar>
        <w:top w:w="41.0" w:type="dxa"/>
        <w:left w:w="827.0" w:type="dxa"/>
        <w:right w:w="115.0" w:type="dxa"/>
      </w:tblCellMar>
    </w:tblPr>
  </w:style>
  <w:style w:type="table" w:styleId="aff7" w:customStyle="1">
    <w:basedOn w:val="TableNormalb"/>
    <w:tblPr>
      <w:tblStyleRowBandSize w:val="1"/>
      <w:tblStyleColBandSize w:val="1"/>
      <w:tblCellMar>
        <w:top w:w="41.0" w:type="dxa"/>
        <w:left w:w="827.0" w:type="dxa"/>
        <w:right w:w="115.0" w:type="dxa"/>
      </w:tblCellMar>
    </w:tblPr>
  </w:style>
  <w:style w:type="table" w:styleId="aff8" w:customStyle="1">
    <w:basedOn w:val="TableNormalb"/>
    <w:tblPr>
      <w:tblStyleRowBandSize w:val="1"/>
      <w:tblStyleColBandSize w:val="1"/>
      <w:tblCellMar>
        <w:top w:w="41.0" w:type="dxa"/>
        <w:left w:w="827.0" w:type="dxa"/>
        <w:right w:w="115.0" w:type="dxa"/>
      </w:tblCellMar>
    </w:tblPr>
  </w:style>
  <w:style w:type="table" w:styleId="aff9" w:customStyle="1">
    <w:basedOn w:val="TableNormalb"/>
    <w:tblPr>
      <w:tblStyleRowBandSize w:val="1"/>
      <w:tblStyleColBandSize w:val="1"/>
      <w:tblCellMar>
        <w:top w:w="41.0" w:type="dxa"/>
        <w:left w:w="827.0" w:type="dxa"/>
        <w:right w:w="115.0" w:type="dxa"/>
      </w:tblCellMar>
    </w:tblPr>
  </w:style>
  <w:style w:type="table" w:styleId="affa" w:customStyle="1">
    <w:basedOn w:val="TableNormalb"/>
    <w:tblPr>
      <w:tblStyleRowBandSize w:val="1"/>
      <w:tblStyleColBandSize w:val="1"/>
      <w:tblCellMar>
        <w:top w:w="41.0" w:type="dxa"/>
        <w:left w:w="827.0" w:type="dxa"/>
        <w:right w:w="115.0" w:type="dxa"/>
      </w:tblCellMar>
    </w:tblPr>
  </w:style>
  <w:style w:type="table" w:styleId="affb" w:customStyle="1">
    <w:basedOn w:val="TableNormalb"/>
    <w:tblPr>
      <w:tblStyleRowBandSize w:val="1"/>
      <w:tblStyleColBandSize w:val="1"/>
      <w:tblCellMar>
        <w:top w:w="41.0" w:type="dxa"/>
        <w:left w:w="827.0" w:type="dxa"/>
        <w:right w:w="115.0" w:type="dxa"/>
      </w:tblCellMar>
    </w:tblPr>
  </w:style>
  <w:style w:type="table" w:styleId="affc" w:customStyle="1">
    <w:basedOn w:val="TableNormalb"/>
    <w:tblPr>
      <w:tblStyleRowBandSize w:val="1"/>
      <w:tblStyleColBandSize w:val="1"/>
      <w:tblCellMar>
        <w:top w:w="41.0" w:type="dxa"/>
        <w:left w:w="827.0" w:type="dxa"/>
        <w:right w:w="115.0" w:type="dxa"/>
      </w:tblCellMar>
    </w:tblPr>
  </w:style>
  <w:style w:type="table" w:styleId="affd" w:customStyle="1">
    <w:basedOn w:val="TableNormalb"/>
    <w:tblPr>
      <w:tblStyleRowBandSize w:val="1"/>
      <w:tblStyleColBandSize w:val="1"/>
      <w:tblCellMar>
        <w:top w:w="41.0" w:type="dxa"/>
        <w:left w:w="827.0" w:type="dxa"/>
        <w:right w:w="115.0" w:type="dxa"/>
      </w:tblCellMar>
    </w:tblPr>
  </w:style>
  <w:style w:type="table" w:styleId="affe" w:customStyle="1">
    <w:basedOn w:val="TableNormalb"/>
    <w:tblPr>
      <w:tblStyleRowBandSize w:val="1"/>
      <w:tblStyleColBandSize w:val="1"/>
      <w:tblCellMar>
        <w:top w:w="41.0" w:type="dxa"/>
        <w:left w:w="827.0" w:type="dxa"/>
        <w:right w:w="115.0" w:type="dxa"/>
      </w:tblCellMar>
    </w:tblPr>
  </w:style>
  <w:style w:type="table" w:styleId="afff" w:customStyle="1">
    <w:basedOn w:val="TableNormalb"/>
    <w:tblPr>
      <w:tblStyleRowBandSize w:val="1"/>
      <w:tblStyleColBandSize w:val="1"/>
      <w:tblCellMar>
        <w:top w:w="41.0" w:type="dxa"/>
        <w:left w:w="827.0" w:type="dxa"/>
        <w:right w:w="115.0" w:type="dxa"/>
      </w:tblCellMar>
    </w:tblPr>
  </w:style>
  <w:style w:type="table" w:styleId="afff0" w:customStyle="1">
    <w:basedOn w:val="TableNormalb"/>
    <w:tblPr>
      <w:tblStyleRowBandSize w:val="1"/>
      <w:tblStyleColBandSize w:val="1"/>
      <w:tblCellMar>
        <w:top w:w="41.0" w:type="dxa"/>
        <w:left w:w="827.0" w:type="dxa"/>
        <w:right w:w="115.0" w:type="dxa"/>
      </w:tblCellMar>
    </w:tblPr>
  </w:style>
  <w:style w:type="table" w:styleId="afff1" w:customStyle="1">
    <w:basedOn w:val="TableNormalb"/>
    <w:tblPr>
      <w:tblStyleRowBandSize w:val="1"/>
      <w:tblStyleColBandSize w:val="1"/>
      <w:tblCellMar>
        <w:top w:w="41.0" w:type="dxa"/>
        <w:left w:w="827.0" w:type="dxa"/>
        <w:right w:w="115.0" w:type="dxa"/>
      </w:tblCellMar>
    </w:tblPr>
  </w:style>
  <w:style w:type="table" w:styleId="afff2" w:customStyle="1">
    <w:basedOn w:val="TableNormalb"/>
    <w:tblPr>
      <w:tblStyleRowBandSize w:val="1"/>
      <w:tblStyleColBandSize w:val="1"/>
      <w:tblCellMar>
        <w:top w:w="41.0" w:type="dxa"/>
        <w:left w:w="827.0" w:type="dxa"/>
        <w:right w:w="115.0" w:type="dxa"/>
      </w:tblCellMar>
    </w:tblPr>
  </w:style>
  <w:style w:type="table" w:styleId="afff3" w:customStyle="1">
    <w:basedOn w:val="TableNormalb"/>
    <w:tblPr>
      <w:tblStyleRowBandSize w:val="1"/>
      <w:tblStyleColBandSize w:val="1"/>
      <w:tblCellMar>
        <w:top w:w="41.0" w:type="dxa"/>
        <w:left w:w="827.0" w:type="dxa"/>
        <w:right w:w="115.0" w:type="dxa"/>
      </w:tblCellMar>
    </w:tblPr>
  </w:style>
  <w:style w:type="table" w:styleId="afff4" w:customStyle="1">
    <w:basedOn w:val="TableNormalb"/>
    <w:tblPr>
      <w:tblStyleRowBandSize w:val="1"/>
      <w:tblStyleColBandSize w:val="1"/>
      <w:tblCellMar>
        <w:top w:w="41.0" w:type="dxa"/>
        <w:left w:w="827.0" w:type="dxa"/>
        <w:right w:w="115.0" w:type="dxa"/>
      </w:tblCellMar>
    </w:tblPr>
  </w:style>
  <w:style w:type="table" w:styleId="afff5" w:customStyle="1">
    <w:basedOn w:val="TableNormalb"/>
    <w:tblPr>
      <w:tblStyleRowBandSize w:val="1"/>
      <w:tblStyleColBandSize w:val="1"/>
      <w:tblCellMar>
        <w:top w:w="41.0" w:type="dxa"/>
        <w:left w:w="827.0" w:type="dxa"/>
        <w:right w:w="115.0" w:type="dxa"/>
      </w:tblCellMar>
    </w:tblPr>
  </w:style>
  <w:style w:type="table" w:styleId="afff6" w:customStyle="1">
    <w:basedOn w:val="TableNormalb"/>
    <w:tblPr>
      <w:tblStyleRowBandSize w:val="1"/>
      <w:tblStyleColBandSize w:val="1"/>
      <w:tblCellMar>
        <w:top w:w="41.0" w:type="dxa"/>
        <w:left w:w="827.0" w:type="dxa"/>
        <w:right w:w="115.0" w:type="dxa"/>
      </w:tblCellMar>
    </w:tblPr>
  </w:style>
  <w:style w:type="table" w:styleId="afff7" w:customStyle="1">
    <w:basedOn w:val="TableNormal9"/>
    <w:tblPr>
      <w:tblStyleRowBandSize w:val="1"/>
      <w:tblStyleColBandSize w:val="1"/>
      <w:tblCellMar>
        <w:top w:w="41.0" w:type="dxa"/>
        <w:left w:w="827.0" w:type="dxa"/>
        <w:right w:w="115.0" w:type="dxa"/>
      </w:tblCellMar>
    </w:tblPr>
  </w:style>
  <w:style w:type="table" w:styleId="afff8" w:customStyle="1">
    <w:basedOn w:val="TableNormal9"/>
    <w:tblPr>
      <w:tblStyleRowBandSize w:val="1"/>
      <w:tblStyleColBandSize w:val="1"/>
      <w:tblCellMar>
        <w:top w:w="41.0" w:type="dxa"/>
        <w:left w:w="827.0" w:type="dxa"/>
        <w:right w:w="115.0" w:type="dxa"/>
      </w:tblCellMar>
    </w:tblPr>
  </w:style>
  <w:style w:type="table" w:styleId="afff9" w:customStyle="1">
    <w:basedOn w:val="TableNormal9"/>
    <w:tblPr>
      <w:tblStyleRowBandSize w:val="1"/>
      <w:tblStyleColBandSize w:val="1"/>
      <w:tblCellMar>
        <w:top w:w="41.0" w:type="dxa"/>
        <w:left w:w="827.0" w:type="dxa"/>
        <w:right w:w="115.0" w:type="dxa"/>
      </w:tblCellMar>
    </w:tblPr>
  </w:style>
  <w:style w:type="table" w:styleId="afffa" w:customStyle="1">
    <w:basedOn w:val="TableNormal9"/>
    <w:tblPr>
      <w:tblStyleRowBandSize w:val="1"/>
      <w:tblStyleColBandSize w:val="1"/>
      <w:tblCellMar>
        <w:top w:w="41.0" w:type="dxa"/>
        <w:left w:w="827.0" w:type="dxa"/>
        <w:right w:w="115.0" w:type="dxa"/>
      </w:tblCellMar>
    </w:tblPr>
  </w:style>
  <w:style w:type="table" w:styleId="afffb" w:customStyle="1">
    <w:basedOn w:val="TableNormal9"/>
    <w:tblPr>
      <w:tblStyleRowBandSize w:val="1"/>
      <w:tblStyleColBandSize w:val="1"/>
      <w:tblCellMar>
        <w:top w:w="41.0" w:type="dxa"/>
        <w:left w:w="827.0" w:type="dxa"/>
        <w:right w:w="115.0" w:type="dxa"/>
      </w:tblCellMar>
    </w:tblPr>
  </w:style>
  <w:style w:type="table" w:styleId="afffc" w:customStyle="1">
    <w:basedOn w:val="TableNormal9"/>
    <w:tblPr>
      <w:tblStyleRowBandSize w:val="1"/>
      <w:tblStyleColBandSize w:val="1"/>
      <w:tblCellMar>
        <w:top w:w="41.0" w:type="dxa"/>
        <w:left w:w="827.0" w:type="dxa"/>
        <w:right w:w="115.0" w:type="dxa"/>
      </w:tblCellMar>
    </w:tblPr>
  </w:style>
  <w:style w:type="table" w:styleId="afffd" w:customStyle="1">
    <w:basedOn w:val="TableNormal9"/>
    <w:tblPr>
      <w:tblStyleRowBandSize w:val="1"/>
      <w:tblStyleColBandSize w:val="1"/>
      <w:tblCellMar>
        <w:top w:w="41.0" w:type="dxa"/>
        <w:left w:w="827.0" w:type="dxa"/>
        <w:right w:w="115.0" w:type="dxa"/>
      </w:tblCellMar>
    </w:tblPr>
  </w:style>
  <w:style w:type="table" w:styleId="afffe" w:customStyle="1">
    <w:basedOn w:val="TableNormal9"/>
    <w:tblPr>
      <w:tblStyleRowBandSize w:val="1"/>
      <w:tblStyleColBandSize w:val="1"/>
      <w:tblCellMar>
        <w:top w:w="41.0" w:type="dxa"/>
        <w:left w:w="827.0" w:type="dxa"/>
        <w:right w:w="115.0" w:type="dxa"/>
      </w:tblCellMar>
    </w:tblPr>
  </w:style>
  <w:style w:type="table" w:styleId="affff" w:customStyle="1">
    <w:basedOn w:val="TableNormal9"/>
    <w:tblPr>
      <w:tblStyleRowBandSize w:val="1"/>
      <w:tblStyleColBandSize w:val="1"/>
      <w:tblCellMar>
        <w:top w:w="41.0" w:type="dxa"/>
        <w:left w:w="827.0" w:type="dxa"/>
        <w:right w:w="115.0" w:type="dxa"/>
      </w:tblCellMar>
    </w:tblPr>
  </w:style>
  <w:style w:type="table" w:styleId="affff0" w:customStyle="1">
    <w:basedOn w:val="TableNormal9"/>
    <w:tblPr>
      <w:tblStyleRowBandSize w:val="1"/>
      <w:tblStyleColBandSize w:val="1"/>
      <w:tblCellMar>
        <w:top w:w="41.0" w:type="dxa"/>
        <w:left w:w="827.0" w:type="dxa"/>
        <w:right w:w="115.0" w:type="dxa"/>
      </w:tblCellMar>
    </w:tblPr>
  </w:style>
  <w:style w:type="table" w:styleId="affff1" w:customStyle="1">
    <w:basedOn w:val="TableNormal9"/>
    <w:tblPr>
      <w:tblStyleRowBandSize w:val="1"/>
      <w:tblStyleColBandSize w:val="1"/>
      <w:tblCellMar>
        <w:top w:w="41.0" w:type="dxa"/>
        <w:left w:w="827.0" w:type="dxa"/>
        <w:right w:w="115.0" w:type="dxa"/>
      </w:tblCellMar>
    </w:tblPr>
  </w:style>
  <w:style w:type="table" w:styleId="affff2" w:customStyle="1">
    <w:basedOn w:val="TableNormal9"/>
    <w:tblPr>
      <w:tblStyleRowBandSize w:val="1"/>
      <w:tblStyleColBandSize w:val="1"/>
      <w:tblCellMar>
        <w:top w:w="41.0" w:type="dxa"/>
        <w:left w:w="827.0" w:type="dxa"/>
        <w:right w:w="115.0" w:type="dxa"/>
      </w:tblCellMar>
    </w:tblPr>
  </w:style>
  <w:style w:type="table" w:styleId="affff3" w:customStyle="1">
    <w:basedOn w:val="TableNormal9"/>
    <w:tblPr>
      <w:tblStyleRowBandSize w:val="1"/>
      <w:tblStyleColBandSize w:val="1"/>
      <w:tblCellMar>
        <w:top w:w="41.0" w:type="dxa"/>
        <w:left w:w="827.0" w:type="dxa"/>
        <w:right w:w="115.0" w:type="dxa"/>
      </w:tblCellMar>
    </w:tblPr>
  </w:style>
  <w:style w:type="table" w:styleId="affff4" w:customStyle="1">
    <w:basedOn w:val="TableNormal9"/>
    <w:tblPr>
      <w:tblStyleRowBandSize w:val="1"/>
      <w:tblStyleColBandSize w:val="1"/>
      <w:tblCellMar>
        <w:top w:w="41.0" w:type="dxa"/>
        <w:left w:w="827.0" w:type="dxa"/>
        <w:right w:w="115.0" w:type="dxa"/>
      </w:tblCellMar>
    </w:tblPr>
  </w:style>
  <w:style w:type="table" w:styleId="affff5" w:customStyle="1">
    <w:basedOn w:val="TableNormal9"/>
    <w:tblPr>
      <w:tblStyleRowBandSize w:val="1"/>
      <w:tblStyleColBandSize w:val="1"/>
      <w:tblCellMar>
        <w:top w:w="41.0" w:type="dxa"/>
        <w:left w:w="827.0" w:type="dxa"/>
        <w:right w:w="115.0" w:type="dxa"/>
      </w:tblCellMar>
    </w:tblPr>
  </w:style>
  <w:style w:type="table" w:styleId="affff6" w:customStyle="1">
    <w:basedOn w:val="TableNormal9"/>
    <w:tblPr>
      <w:tblStyleRowBandSize w:val="1"/>
      <w:tblStyleColBandSize w:val="1"/>
      <w:tblCellMar>
        <w:top w:w="41.0" w:type="dxa"/>
        <w:left w:w="827.0" w:type="dxa"/>
        <w:right w:w="115.0" w:type="dxa"/>
      </w:tblCellMar>
    </w:tblPr>
  </w:style>
  <w:style w:type="table" w:styleId="affff7" w:customStyle="1">
    <w:basedOn w:val="TableNormal9"/>
    <w:tblPr>
      <w:tblStyleRowBandSize w:val="1"/>
      <w:tblStyleColBandSize w:val="1"/>
      <w:tblCellMar>
        <w:top w:w="41.0" w:type="dxa"/>
        <w:left w:w="827.0" w:type="dxa"/>
        <w:right w:w="115.0" w:type="dxa"/>
      </w:tblCellMar>
    </w:tblPr>
  </w:style>
  <w:style w:type="table" w:styleId="affff8" w:customStyle="1">
    <w:basedOn w:val="TableNormal9"/>
    <w:tblPr>
      <w:tblStyleRowBandSize w:val="1"/>
      <w:tblStyleColBandSize w:val="1"/>
      <w:tblCellMar>
        <w:top w:w="41.0" w:type="dxa"/>
        <w:left w:w="827.0" w:type="dxa"/>
        <w:right w:w="115.0" w:type="dxa"/>
      </w:tblCellMar>
    </w:tblPr>
  </w:style>
  <w:style w:type="table" w:styleId="affff9" w:customStyle="1">
    <w:basedOn w:val="TableNormal9"/>
    <w:tblPr>
      <w:tblStyleRowBandSize w:val="1"/>
      <w:tblStyleColBandSize w:val="1"/>
      <w:tblCellMar>
        <w:top w:w="41.0" w:type="dxa"/>
        <w:left w:w="827.0" w:type="dxa"/>
        <w:right w:w="115.0" w:type="dxa"/>
      </w:tblCellMar>
    </w:tblPr>
  </w:style>
  <w:style w:type="table" w:styleId="affffa" w:customStyle="1">
    <w:basedOn w:val="TableNormal9"/>
    <w:tblPr>
      <w:tblStyleRowBandSize w:val="1"/>
      <w:tblStyleColBandSize w:val="1"/>
      <w:tblCellMar>
        <w:top w:w="41.0" w:type="dxa"/>
        <w:left w:w="827.0" w:type="dxa"/>
        <w:right w:w="115.0" w:type="dxa"/>
      </w:tblCellMar>
    </w:tblPr>
  </w:style>
  <w:style w:type="table" w:styleId="affffb" w:customStyle="1">
    <w:basedOn w:val="TableNormal9"/>
    <w:tblPr>
      <w:tblStyleRowBandSize w:val="1"/>
      <w:tblStyleColBandSize w:val="1"/>
      <w:tblCellMar>
        <w:top w:w="41.0" w:type="dxa"/>
        <w:left w:w="827.0" w:type="dxa"/>
        <w:right w:w="115.0" w:type="dxa"/>
      </w:tblCellMar>
    </w:tblPr>
  </w:style>
  <w:style w:type="table" w:styleId="affffc" w:customStyle="1">
    <w:basedOn w:val="TableNormal9"/>
    <w:tblPr>
      <w:tblStyleRowBandSize w:val="1"/>
      <w:tblStyleColBandSize w:val="1"/>
      <w:tblCellMar>
        <w:top w:w="41.0" w:type="dxa"/>
        <w:left w:w="827.0" w:type="dxa"/>
        <w:right w:w="115.0" w:type="dxa"/>
      </w:tblCellMar>
    </w:tblPr>
  </w:style>
  <w:style w:type="table" w:styleId="affffd" w:customStyle="1">
    <w:basedOn w:val="TableNormal9"/>
    <w:tblPr>
      <w:tblStyleRowBandSize w:val="1"/>
      <w:tblStyleColBandSize w:val="1"/>
      <w:tblCellMar>
        <w:top w:w="41.0" w:type="dxa"/>
        <w:left w:w="827.0" w:type="dxa"/>
        <w:right w:w="115.0" w:type="dxa"/>
      </w:tblCellMar>
    </w:tblPr>
  </w:style>
  <w:style w:type="table" w:styleId="affffe" w:customStyle="1">
    <w:basedOn w:val="TableNormal9"/>
    <w:tblPr>
      <w:tblStyleRowBandSize w:val="1"/>
      <w:tblStyleColBandSize w:val="1"/>
      <w:tblCellMar>
        <w:top w:w="41.0" w:type="dxa"/>
        <w:left w:w="827.0" w:type="dxa"/>
        <w:right w:w="115.0" w:type="dxa"/>
      </w:tblCellMar>
    </w:tblPr>
  </w:style>
  <w:style w:type="table" w:styleId="afffff" w:customStyle="1">
    <w:basedOn w:val="TableNormal9"/>
    <w:tblPr>
      <w:tblStyleRowBandSize w:val="1"/>
      <w:tblStyleColBandSize w:val="1"/>
      <w:tblCellMar>
        <w:top w:w="41.0" w:type="dxa"/>
        <w:left w:w="827.0" w:type="dxa"/>
        <w:right w:w="115.0" w:type="dxa"/>
      </w:tblCellMar>
    </w:tblPr>
  </w:style>
  <w:style w:type="table" w:styleId="afffff0" w:customStyle="1">
    <w:basedOn w:val="TableNormal9"/>
    <w:tblPr>
      <w:tblStyleRowBandSize w:val="1"/>
      <w:tblStyleColBandSize w:val="1"/>
      <w:tblCellMar>
        <w:top w:w="41.0" w:type="dxa"/>
        <w:left w:w="827.0" w:type="dxa"/>
        <w:right w:w="115.0" w:type="dxa"/>
      </w:tblCellMar>
    </w:tblPr>
  </w:style>
  <w:style w:type="table" w:styleId="afffff1" w:customStyle="1">
    <w:basedOn w:val="TableNormal9"/>
    <w:tblPr>
      <w:tblStyleRowBandSize w:val="1"/>
      <w:tblStyleColBandSize w:val="1"/>
      <w:tblCellMar>
        <w:top w:w="41.0" w:type="dxa"/>
        <w:left w:w="827.0" w:type="dxa"/>
        <w:right w:w="115.0" w:type="dxa"/>
      </w:tblCellMar>
    </w:tblPr>
  </w:style>
  <w:style w:type="table" w:styleId="afffff2" w:customStyle="1">
    <w:basedOn w:val="TableNormal9"/>
    <w:tblPr>
      <w:tblStyleRowBandSize w:val="1"/>
      <w:tblStyleColBandSize w:val="1"/>
      <w:tblCellMar>
        <w:top w:w="41.0" w:type="dxa"/>
        <w:left w:w="827.0" w:type="dxa"/>
        <w:right w:w="115.0" w:type="dxa"/>
      </w:tblCellMar>
    </w:tblPr>
  </w:style>
  <w:style w:type="table" w:styleId="afffff3" w:customStyle="1">
    <w:basedOn w:val="TableNormal9"/>
    <w:tblPr>
      <w:tblStyleRowBandSize w:val="1"/>
      <w:tblStyleColBandSize w:val="1"/>
      <w:tblCellMar>
        <w:top w:w="41.0" w:type="dxa"/>
        <w:left w:w="827.0" w:type="dxa"/>
        <w:right w:w="115.0" w:type="dxa"/>
      </w:tblCellMar>
    </w:tblPr>
  </w:style>
  <w:style w:type="table" w:styleId="afffff4" w:customStyle="1">
    <w:basedOn w:val="TableNormal9"/>
    <w:tblPr>
      <w:tblStyleRowBandSize w:val="1"/>
      <w:tblStyleColBandSize w:val="1"/>
      <w:tblCellMar>
        <w:top w:w="41.0" w:type="dxa"/>
        <w:left w:w="827.0" w:type="dxa"/>
        <w:right w:w="115.0" w:type="dxa"/>
      </w:tblCellMar>
    </w:tblPr>
  </w:style>
  <w:style w:type="table" w:styleId="afffff5" w:customStyle="1">
    <w:basedOn w:val="TableNormal9"/>
    <w:tblPr>
      <w:tblStyleRowBandSize w:val="1"/>
      <w:tblStyleColBandSize w:val="1"/>
      <w:tblCellMar>
        <w:top w:w="41.0" w:type="dxa"/>
        <w:left w:w="827.0" w:type="dxa"/>
        <w:right w:w="115.0" w:type="dxa"/>
      </w:tblCellMar>
    </w:tblPr>
  </w:style>
  <w:style w:type="table" w:styleId="afffff6" w:customStyle="1">
    <w:basedOn w:val="TableNormal9"/>
    <w:tblPr>
      <w:tblStyleRowBandSize w:val="1"/>
      <w:tblStyleColBandSize w:val="1"/>
      <w:tblCellMar>
        <w:top w:w="41.0" w:type="dxa"/>
        <w:left w:w="827.0" w:type="dxa"/>
        <w:right w:w="115.0" w:type="dxa"/>
      </w:tblCellMar>
    </w:tblPr>
  </w:style>
  <w:style w:type="table" w:styleId="afffff7" w:customStyle="1">
    <w:basedOn w:val="TableNormal9"/>
    <w:tblPr>
      <w:tblStyleRowBandSize w:val="1"/>
      <w:tblStyleColBandSize w:val="1"/>
      <w:tblCellMar>
        <w:top w:w="41.0" w:type="dxa"/>
        <w:left w:w="827.0" w:type="dxa"/>
        <w:right w:w="115.0" w:type="dxa"/>
      </w:tblCellMar>
    </w:tblPr>
  </w:style>
  <w:style w:type="table" w:styleId="afffff8" w:customStyle="1">
    <w:basedOn w:val="TableNormal9"/>
    <w:tblPr>
      <w:tblStyleRowBandSize w:val="1"/>
      <w:tblStyleColBandSize w:val="1"/>
      <w:tblCellMar>
        <w:top w:w="41.0" w:type="dxa"/>
        <w:left w:w="827.0" w:type="dxa"/>
        <w:right w:w="115.0" w:type="dxa"/>
      </w:tblCellMar>
    </w:tblPr>
  </w:style>
  <w:style w:type="table" w:styleId="afffff9" w:customStyle="1">
    <w:basedOn w:val="TableNormal9"/>
    <w:tblPr>
      <w:tblStyleRowBandSize w:val="1"/>
      <w:tblStyleColBandSize w:val="1"/>
      <w:tblCellMar>
        <w:top w:w="41.0" w:type="dxa"/>
        <w:left w:w="827.0" w:type="dxa"/>
        <w:right w:w="115.0" w:type="dxa"/>
      </w:tblCellMar>
    </w:tblPr>
  </w:style>
  <w:style w:type="table" w:styleId="afffffa" w:customStyle="1">
    <w:basedOn w:val="TableNormal9"/>
    <w:tblPr>
      <w:tblStyleRowBandSize w:val="1"/>
      <w:tblStyleColBandSize w:val="1"/>
      <w:tblCellMar>
        <w:top w:w="41.0" w:type="dxa"/>
        <w:left w:w="827.0" w:type="dxa"/>
        <w:right w:w="115.0" w:type="dxa"/>
      </w:tblCellMar>
    </w:tblPr>
  </w:style>
  <w:style w:type="table" w:styleId="afffffb" w:customStyle="1">
    <w:basedOn w:val="TableNormal9"/>
    <w:tblPr>
      <w:tblStyleRowBandSize w:val="1"/>
      <w:tblStyleColBandSize w:val="1"/>
      <w:tblCellMar>
        <w:top w:w="41.0" w:type="dxa"/>
        <w:left w:w="827.0" w:type="dxa"/>
        <w:right w:w="115.0" w:type="dxa"/>
      </w:tblCellMar>
    </w:tblPr>
  </w:style>
  <w:style w:type="table" w:styleId="afffffc" w:customStyle="1">
    <w:basedOn w:val="TableNormal9"/>
    <w:tblPr>
      <w:tblStyleRowBandSize w:val="1"/>
      <w:tblStyleColBandSize w:val="1"/>
      <w:tblCellMar>
        <w:top w:w="41.0" w:type="dxa"/>
        <w:left w:w="827.0" w:type="dxa"/>
        <w:right w:w="115.0" w:type="dxa"/>
      </w:tblCellMar>
    </w:tblPr>
  </w:style>
  <w:style w:type="table" w:styleId="afffffd" w:customStyle="1">
    <w:basedOn w:val="TableNormal9"/>
    <w:tblPr>
      <w:tblStyleRowBandSize w:val="1"/>
      <w:tblStyleColBandSize w:val="1"/>
      <w:tblCellMar>
        <w:top w:w="41.0" w:type="dxa"/>
        <w:left w:w="827.0" w:type="dxa"/>
        <w:right w:w="115.0" w:type="dxa"/>
      </w:tblCellMar>
    </w:tblPr>
  </w:style>
  <w:style w:type="table" w:styleId="afffffe" w:customStyle="1">
    <w:basedOn w:val="TableNormal9"/>
    <w:tblPr>
      <w:tblStyleRowBandSize w:val="1"/>
      <w:tblStyleColBandSize w:val="1"/>
      <w:tblCellMar>
        <w:top w:w="41.0" w:type="dxa"/>
        <w:left w:w="827.0" w:type="dxa"/>
        <w:right w:w="115.0" w:type="dxa"/>
      </w:tblCellMar>
    </w:tblPr>
  </w:style>
  <w:style w:type="table" w:styleId="affffff" w:customStyle="1">
    <w:basedOn w:val="TableNormal9"/>
    <w:tblPr>
      <w:tblStyleRowBandSize w:val="1"/>
      <w:tblStyleColBandSize w:val="1"/>
      <w:tblCellMar>
        <w:top w:w="41.0" w:type="dxa"/>
        <w:left w:w="827.0" w:type="dxa"/>
        <w:right w:w="115.0" w:type="dxa"/>
      </w:tblCellMar>
    </w:tblPr>
  </w:style>
  <w:style w:type="table" w:styleId="affffff0" w:customStyle="1">
    <w:basedOn w:val="TableNormal6"/>
    <w:tblPr>
      <w:tblStyleRowBandSize w:val="1"/>
      <w:tblStyleColBandSize w:val="1"/>
      <w:tblCellMar>
        <w:top w:w="41.0" w:type="dxa"/>
        <w:left w:w="827.0" w:type="dxa"/>
        <w:right w:w="115.0" w:type="dxa"/>
      </w:tblCellMar>
    </w:tblPr>
  </w:style>
  <w:style w:type="table" w:styleId="affffff1" w:customStyle="1">
    <w:basedOn w:val="TableNormal6"/>
    <w:tblPr>
      <w:tblStyleRowBandSize w:val="1"/>
      <w:tblStyleColBandSize w:val="1"/>
      <w:tblCellMar>
        <w:top w:w="41.0" w:type="dxa"/>
        <w:left w:w="827.0" w:type="dxa"/>
        <w:right w:w="115.0" w:type="dxa"/>
      </w:tblCellMar>
    </w:tblPr>
  </w:style>
  <w:style w:type="table" w:styleId="affffff2" w:customStyle="1">
    <w:basedOn w:val="TableNormal6"/>
    <w:tblPr>
      <w:tblStyleRowBandSize w:val="1"/>
      <w:tblStyleColBandSize w:val="1"/>
      <w:tblCellMar>
        <w:top w:w="41.0" w:type="dxa"/>
        <w:left w:w="827.0" w:type="dxa"/>
        <w:right w:w="115.0" w:type="dxa"/>
      </w:tblCellMar>
    </w:tblPr>
  </w:style>
  <w:style w:type="table" w:styleId="affffff3" w:customStyle="1">
    <w:basedOn w:val="TableNormal6"/>
    <w:tblPr>
      <w:tblStyleRowBandSize w:val="1"/>
      <w:tblStyleColBandSize w:val="1"/>
      <w:tblCellMar>
        <w:top w:w="41.0" w:type="dxa"/>
        <w:left w:w="827.0" w:type="dxa"/>
        <w:right w:w="115.0" w:type="dxa"/>
      </w:tblCellMar>
    </w:tblPr>
  </w:style>
  <w:style w:type="table" w:styleId="affffff4" w:customStyle="1">
    <w:basedOn w:val="TableNormal6"/>
    <w:tblPr>
      <w:tblStyleRowBandSize w:val="1"/>
      <w:tblStyleColBandSize w:val="1"/>
      <w:tblCellMar>
        <w:top w:w="41.0" w:type="dxa"/>
        <w:left w:w="827.0" w:type="dxa"/>
        <w:right w:w="115.0" w:type="dxa"/>
      </w:tblCellMar>
    </w:tblPr>
  </w:style>
  <w:style w:type="table" w:styleId="affffff5" w:customStyle="1">
    <w:basedOn w:val="TableNormal6"/>
    <w:tblPr>
      <w:tblStyleRowBandSize w:val="1"/>
      <w:tblStyleColBandSize w:val="1"/>
      <w:tblCellMar>
        <w:top w:w="41.0" w:type="dxa"/>
        <w:left w:w="827.0" w:type="dxa"/>
        <w:right w:w="115.0" w:type="dxa"/>
      </w:tblCellMar>
    </w:tblPr>
  </w:style>
  <w:style w:type="table" w:styleId="affffff6" w:customStyle="1">
    <w:basedOn w:val="TableNormal6"/>
    <w:tblPr>
      <w:tblStyleRowBandSize w:val="1"/>
      <w:tblStyleColBandSize w:val="1"/>
      <w:tblCellMar>
        <w:top w:w="41.0" w:type="dxa"/>
        <w:left w:w="827.0" w:type="dxa"/>
        <w:right w:w="115.0" w:type="dxa"/>
      </w:tblCellMar>
    </w:tblPr>
  </w:style>
  <w:style w:type="table" w:styleId="affffff7" w:customStyle="1">
    <w:basedOn w:val="TableNormal6"/>
    <w:tblPr>
      <w:tblStyleRowBandSize w:val="1"/>
      <w:tblStyleColBandSize w:val="1"/>
      <w:tblCellMar>
        <w:top w:w="41.0" w:type="dxa"/>
        <w:left w:w="827.0" w:type="dxa"/>
        <w:right w:w="115.0" w:type="dxa"/>
      </w:tblCellMar>
    </w:tblPr>
  </w:style>
  <w:style w:type="table" w:styleId="affffff8" w:customStyle="1">
    <w:basedOn w:val="TableNormal6"/>
    <w:tblPr>
      <w:tblStyleRowBandSize w:val="1"/>
      <w:tblStyleColBandSize w:val="1"/>
      <w:tblCellMar>
        <w:top w:w="41.0" w:type="dxa"/>
        <w:left w:w="827.0" w:type="dxa"/>
        <w:right w:w="115.0" w:type="dxa"/>
      </w:tblCellMar>
    </w:tblPr>
  </w:style>
  <w:style w:type="table" w:styleId="affffff9" w:customStyle="1">
    <w:basedOn w:val="TableNormal6"/>
    <w:tblPr>
      <w:tblStyleRowBandSize w:val="1"/>
      <w:tblStyleColBandSize w:val="1"/>
      <w:tblCellMar>
        <w:top w:w="41.0" w:type="dxa"/>
        <w:left w:w="827.0" w:type="dxa"/>
        <w:right w:w="115.0" w:type="dxa"/>
      </w:tblCellMar>
    </w:tblPr>
  </w:style>
  <w:style w:type="table" w:styleId="affffffa" w:customStyle="1">
    <w:basedOn w:val="TableNormal6"/>
    <w:tblPr>
      <w:tblStyleRowBandSize w:val="1"/>
      <w:tblStyleColBandSize w:val="1"/>
      <w:tblCellMar>
        <w:top w:w="41.0" w:type="dxa"/>
        <w:left w:w="827.0" w:type="dxa"/>
        <w:right w:w="115.0" w:type="dxa"/>
      </w:tblCellMar>
    </w:tblPr>
  </w:style>
  <w:style w:type="table" w:styleId="affffffb" w:customStyle="1">
    <w:basedOn w:val="TableNormal6"/>
    <w:tblPr>
      <w:tblStyleRowBandSize w:val="1"/>
      <w:tblStyleColBandSize w:val="1"/>
      <w:tblCellMar>
        <w:top w:w="41.0" w:type="dxa"/>
        <w:left w:w="827.0" w:type="dxa"/>
        <w:right w:w="115.0" w:type="dxa"/>
      </w:tblCellMar>
    </w:tblPr>
  </w:style>
  <w:style w:type="table" w:styleId="affffffc" w:customStyle="1">
    <w:basedOn w:val="TableNormal6"/>
    <w:tblPr>
      <w:tblStyleRowBandSize w:val="1"/>
      <w:tblStyleColBandSize w:val="1"/>
      <w:tblCellMar>
        <w:top w:w="41.0" w:type="dxa"/>
        <w:left w:w="827.0" w:type="dxa"/>
        <w:right w:w="115.0" w:type="dxa"/>
      </w:tblCellMar>
    </w:tblPr>
  </w:style>
  <w:style w:type="table" w:styleId="affffffd" w:customStyle="1">
    <w:basedOn w:val="TableNormal5"/>
    <w:tblPr>
      <w:tblStyleRowBandSize w:val="1"/>
      <w:tblStyleColBandSize w:val="1"/>
      <w:tblCellMar>
        <w:top w:w="41.0" w:type="dxa"/>
        <w:left w:w="827.0" w:type="dxa"/>
        <w:right w:w="115.0" w:type="dxa"/>
      </w:tblCellMar>
    </w:tblPr>
  </w:style>
  <w:style w:type="table" w:styleId="affffffe" w:customStyle="1">
    <w:basedOn w:val="TableNormal5"/>
    <w:tblPr>
      <w:tblStyleRowBandSize w:val="1"/>
      <w:tblStyleColBandSize w:val="1"/>
      <w:tblCellMar>
        <w:top w:w="41.0" w:type="dxa"/>
        <w:left w:w="827.0" w:type="dxa"/>
        <w:right w:w="115.0" w:type="dxa"/>
      </w:tblCellMar>
    </w:tblPr>
  </w:style>
  <w:style w:type="table" w:styleId="afffffff" w:customStyle="1">
    <w:basedOn w:val="TableNormal5"/>
    <w:tblPr>
      <w:tblStyleRowBandSize w:val="1"/>
      <w:tblStyleColBandSize w:val="1"/>
      <w:tblCellMar>
        <w:top w:w="41.0" w:type="dxa"/>
        <w:left w:w="827.0" w:type="dxa"/>
        <w:right w:w="115.0" w:type="dxa"/>
      </w:tblCellMar>
    </w:tblPr>
  </w:style>
  <w:style w:type="table" w:styleId="afffffff0" w:customStyle="1">
    <w:basedOn w:val="TableNormal5"/>
    <w:tblPr>
      <w:tblStyleRowBandSize w:val="1"/>
      <w:tblStyleColBandSize w:val="1"/>
      <w:tblCellMar>
        <w:top w:w="41.0" w:type="dxa"/>
        <w:left w:w="827.0" w:type="dxa"/>
        <w:right w:w="115.0" w:type="dxa"/>
      </w:tblCellMar>
    </w:tblPr>
  </w:style>
  <w:style w:type="table" w:styleId="afffffff1" w:customStyle="1">
    <w:basedOn w:val="TableNormal5"/>
    <w:tblPr>
      <w:tblStyleRowBandSize w:val="1"/>
      <w:tblStyleColBandSize w:val="1"/>
      <w:tblCellMar>
        <w:top w:w="41.0" w:type="dxa"/>
        <w:left w:w="827.0" w:type="dxa"/>
        <w:right w:w="115.0" w:type="dxa"/>
      </w:tblCellMar>
    </w:tblPr>
  </w:style>
  <w:style w:type="table" w:styleId="afffffff2" w:customStyle="1">
    <w:basedOn w:val="TableNormal5"/>
    <w:tblPr>
      <w:tblStyleRowBandSize w:val="1"/>
      <w:tblStyleColBandSize w:val="1"/>
      <w:tblCellMar>
        <w:top w:w="41.0" w:type="dxa"/>
        <w:left w:w="827.0" w:type="dxa"/>
        <w:right w:w="115.0" w:type="dxa"/>
      </w:tblCellMar>
    </w:tblPr>
  </w:style>
  <w:style w:type="table" w:styleId="afffffff3" w:customStyle="1">
    <w:basedOn w:val="TableNormal5"/>
    <w:tblPr>
      <w:tblStyleRowBandSize w:val="1"/>
      <w:tblStyleColBandSize w:val="1"/>
      <w:tblCellMar>
        <w:top w:w="41.0" w:type="dxa"/>
        <w:left w:w="827.0" w:type="dxa"/>
        <w:right w:w="115.0" w:type="dxa"/>
      </w:tblCellMar>
    </w:tblPr>
  </w:style>
  <w:style w:type="table" w:styleId="afffffff4" w:customStyle="1">
    <w:basedOn w:val="TableNormal5"/>
    <w:tblPr>
      <w:tblStyleRowBandSize w:val="1"/>
      <w:tblStyleColBandSize w:val="1"/>
      <w:tblCellMar>
        <w:top w:w="41.0" w:type="dxa"/>
        <w:left w:w="827.0" w:type="dxa"/>
        <w:right w:w="115.0" w:type="dxa"/>
      </w:tblCellMar>
    </w:tblPr>
  </w:style>
  <w:style w:type="table" w:styleId="afffffff5" w:customStyle="1">
    <w:basedOn w:val="TableNormal5"/>
    <w:tblPr>
      <w:tblStyleRowBandSize w:val="1"/>
      <w:tblStyleColBandSize w:val="1"/>
      <w:tblCellMar>
        <w:top w:w="41.0" w:type="dxa"/>
        <w:left w:w="827.0" w:type="dxa"/>
        <w:right w:w="115.0" w:type="dxa"/>
      </w:tblCellMar>
    </w:tblPr>
  </w:style>
  <w:style w:type="table" w:styleId="afffffff6" w:customStyle="1">
    <w:basedOn w:val="TableNormal5"/>
    <w:tblPr>
      <w:tblStyleRowBandSize w:val="1"/>
      <w:tblStyleColBandSize w:val="1"/>
      <w:tblCellMar>
        <w:top w:w="41.0" w:type="dxa"/>
        <w:left w:w="827.0" w:type="dxa"/>
        <w:right w:w="115.0" w:type="dxa"/>
      </w:tblCellMar>
    </w:tblPr>
  </w:style>
  <w:style w:type="table" w:styleId="afffffff7" w:customStyle="1">
    <w:basedOn w:val="TableNormal5"/>
    <w:tblPr>
      <w:tblStyleRowBandSize w:val="1"/>
      <w:tblStyleColBandSize w:val="1"/>
      <w:tblCellMar>
        <w:top w:w="41.0" w:type="dxa"/>
        <w:left w:w="827.0" w:type="dxa"/>
        <w:right w:w="115.0" w:type="dxa"/>
      </w:tblCellMar>
    </w:tblPr>
  </w:style>
  <w:style w:type="table" w:styleId="afffffff8" w:customStyle="1">
    <w:basedOn w:val="TableNormal5"/>
    <w:tblPr>
      <w:tblStyleRowBandSize w:val="1"/>
      <w:tblStyleColBandSize w:val="1"/>
      <w:tblCellMar>
        <w:top w:w="41.0" w:type="dxa"/>
        <w:left w:w="827.0" w:type="dxa"/>
        <w:right w:w="115.0" w:type="dxa"/>
      </w:tblCellMar>
    </w:tblPr>
  </w:style>
  <w:style w:type="table" w:styleId="afffffff9" w:customStyle="1">
    <w:basedOn w:val="TableNormal5"/>
    <w:tblPr>
      <w:tblStyleRowBandSize w:val="1"/>
      <w:tblStyleColBandSize w:val="1"/>
      <w:tblCellMar>
        <w:top w:w="41.0" w:type="dxa"/>
        <w:left w:w="827.0" w:type="dxa"/>
        <w:right w:w="115.0" w:type="dxa"/>
      </w:tblCellMar>
    </w:tblPr>
  </w:style>
  <w:style w:type="table" w:styleId="afffffffa" w:customStyle="1">
    <w:basedOn w:val="TableNormal5"/>
    <w:tblPr>
      <w:tblStyleRowBandSize w:val="1"/>
      <w:tblStyleColBandSize w:val="1"/>
      <w:tblCellMar>
        <w:top w:w="41.0" w:type="dxa"/>
        <w:left w:w="827.0" w:type="dxa"/>
        <w:right w:w="115.0" w:type="dxa"/>
      </w:tblCellMar>
    </w:tblPr>
  </w:style>
  <w:style w:type="table" w:styleId="afffffffb" w:customStyle="1">
    <w:basedOn w:val="TableNormal5"/>
    <w:tblPr>
      <w:tblStyleRowBandSize w:val="1"/>
      <w:tblStyleColBandSize w:val="1"/>
      <w:tblCellMar>
        <w:top w:w="41.0" w:type="dxa"/>
        <w:left w:w="827.0" w:type="dxa"/>
        <w:right w:w="115.0" w:type="dxa"/>
      </w:tblCellMar>
    </w:tblPr>
  </w:style>
  <w:style w:type="table" w:styleId="afffffffc" w:customStyle="1">
    <w:basedOn w:val="TableNormal5"/>
    <w:tblPr>
      <w:tblStyleRowBandSize w:val="1"/>
      <w:tblStyleColBandSize w:val="1"/>
      <w:tblCellMar>
        <w:top w:w="41.0" w:type="dxa"/>
        <w:left w:w="827.0" w:type="dxa"/>
        <w:right w:w="115.0" w:type="dxa"/>
      </w:tblCellMar>
    </w:tblPr>
  </w:style>
  <w:style w:type="table" w:styleId="afffffffd" w:customStyle="1">
    <w:basedOn w:val="TableNormal5"/>
    <w:tblPr>
      <w:tblStyleRowBandSize w:val="1"/>
      <w:tblStyleColBandSize w:val="1"/>
      <w:tblCellMar>
        <w:top w:w="41.0" w:type="dxa"/>
        <w:left w:w="827.0" w:type="dxa"/>
        <w:right w:w="115.0" w:type="dxa"/>
      </w:tblCellMar>
    </w:tblPr>
  </w:style>
  <w:style w:type="table" w:styleId="afffffffe" w:customStyle="1">
    <w:basedOn w:val="TableNormal5"/>
    <w:tblPr>
      <w:tblStyleRowBandSize w:val="1"/>
      <w:tblStyleColBandSize w:val="1"/>
      <w:tblCellMar>
        <w:top w:w="41.0" w:type="dxa"/>
        <w:left w:w="827.0" w:type="dxa"/>
        <w:right w:w="115.0" w:type="dxa"/>
      </w:tblCellMar>
    </w:tblPr>
  </w:style>
  <w:style w:type="table" w:styleId="affffffff" w:customStyle="1">
    <w:basedOn w:val="TableNormal5"/>
    <w:tblPr>
      <w:tblStyleRowBandSize w:val="1"/>
      <w:tblStyleColBandSize w:val="1"/>
      <w:tblCellMar>
        <w:top w:w="41.0" w:type="dxa"/>
        <w:left w:w="827.0" w:type="dxa"/>
        <w:right w:w="115.0" w:type="dxa"/>
      </w:tblCellMar>
    </w:tblPr>
  </w:style>
  <w:style w:type="table" w:styleId="affffffff0" w:customStyle="1">
    <w:basedOn w:val="TableNormal5"/>
    <w:tblPr>
      <w:tblStyleRowBandSize w:val="1"/>
      <w:tblStyleColBandSize w:val="1"/>
      <w:tblCellMar>
        <w:top w:w="41.0" w:type="dxa"/>
        <w:left w:w="827.0" w:type="dxa"/>
        <w:right w:w="115.0" w:type="dxa"/>
      </w:tblCellMar>
    </w:tblPr>
  </w:style>
  <w:style w:type="table" w:styleId="affffffff1" w:customStyle="1">
    <w:basedOn w:val="TableNormal5"/>
    <w:tblPr>
      <w:tblStyleRowBandSize w:val="1"/>
      <w:tblStyleColBandSize w:val="1"/>
      <w:tblCellMar>
        <w:top w:w="41.0" w:type="dxa"/>
        <w:left w:w="827.0" w:type="dxa"/>
        <w:right w:w="115.0" w:type="dxa"/>
      </w:tblCellMar>
    </w:tblPr>
  </w:style>
  <w:style w:type="table" w:styleId="affffffff2" w:customStyle="1">
    <w:basedOn w:val="TableNormal5"/>
    <w:tblPr>
      <w:tblStyleRowBandSize w:val="1"/>
      <w:tblStyleColBandSize w:val="1"/>
      <w:tblCellMar>
        <w:top w:w="41.0" w:type="dxa"/>
        <w:left w:w="827.0" w:type="dxa"/>
        <w:right w:w="115.0" w:type="dxa"/>
      </w:tblCellMar>
    </w:tblPr>
  </w:style>
  <w:style w:type="table" w:styleId="affffffff3" w:customStyle="1">
    <w:basedOn w:val="TableNormal5"/>
    <w:tblPr>
      <w:tblStyleRowBandSize w:val="1"/>
      <w:tblStyleColBandSize w:val="1"/>
      <w:tblCellMar>
        <w:top w:w="41.0" w:type="dxa"/>
        <w:left w:w="827.0" w:type="dxa"/>
        <w:right w:w="115.0" w:type="dxa"/>
      </w:tblCellMar>
    </w:tblPr>
  </w:style>
  <w:style w:type="table" w:styleId="affffffff4" w:customStyle="1">
    <w:basedOn w:val="TableNormal5"/>
    <w:tblPr>
      <w:tblStyleRowBandSize w:val="1"/>
      <w:tblStyleColBandSize w:val="1"/>
      <w:tblCellMar>
        <w:top w:w="41.0" w:type="dxa"/>
        <w:left w:w="827.0" w:type="dxa"/>
        <w:right w:w="115.0" w:type="dxa"/>
      </w:tblCellMar>
    </w:tblPr>
  </w:style>
  <w:style w:type="table" w:styleId="affffffff5" w:customStyle="1">
    <w:basedOn w:val="TableNormal5"/>
    <w:tblPr>
      <w:tblStyleRowBandSize w:val="1"/>
      <w:tblStyleColBandSize w:val="1"/>
      <w:tblCellMar>
        <w:top w:w="41.0" w:type="dxa"/>
        <w:left w:w="827.0" w:type="dxa"/>
        <w:right w:w="115.0" w:type="dxa"/>
      </w:tblCellMar>
    </w:tblPr>
  </w:style>
  <w:style w:type="table" w:styleId="affffffff6" w:customStyle="1">
    <w:basedOn w:val="TableNormal3"/>
    <w:tblPr>
      <w:tblStyleRowBandSize w:val="1"/>
      <w:tblStyleColBandSize w:val="1"/>
      <w:tblCellMar>
        <w:top w:w="41.0" w:type="dxa"/>
        <w:left w:w="827.0" w:type="dxa"/>
        <w:right w:w="115.0" w:type="dxa"/>
      </w:tblCellMar>
    </w:tblPr>
  </w:style>
  <w:style w:type="table" w:styleId="affffffff7" w:customStyle="1">
    <w:basedOn w:val="TableNormal3"/>
    <w:tblPr>
      <w:tblStyleRowBandSize w:val="1"/>
      <w:tblStyleColBandSize w:val="1"/>
      <w:tblCellMar>
        <w:top w:w="41.0" w:type="dxa"/>
        <w:left w:w="827.0" w:type="dxa"/>
        <w:right w:w="115.0" w:type="dxa"/>
      </w:tblCellMar>
    </w:tblPr>
  </w:style>
  <w:style w:type="table" w:styleId="affffffff8" w:customStyle="1">
    <w:basedOn w:val="TableNormal3"/>
    <w:tblPr>
      <w:tblStyleRowBandSize w:val="1"/>
      <w:tblStyleColBandSize w:val="1"/>
      <w:tblCellMar>
        <w:top w:w="41.0" w:type="dxa"/>
        <w:left w:w="827.0" w:type="dxa"/>
        <w:right w:w="115.0" w:type="dxa"/>
      </w:tblCellMar>
    </w:tblPr>
  </w:style>
  <w:style w:type="table" w:styleId="affffffff9" w:customStyle="1">
    <w:basedOn w:val="TableNormal3"/>
    <w:tblPr>
      <w:tblStyleRowBandSize w:val="1"/>
      <w:tblStyleColBandSize w:val="1"/>
      <w:tblCellMar>
        <w:top w:w="41.0" w:type="dxa"/>
        <w:left w:w="827.0" w:type="dxa"/>
        <w:right w:w="115.0" w:type="dxa"/>
      </w:tblCellMar>
    </w:tblPr>
  </w:style>
  <w:style w:type="table" w:styleId="affffffffa" w:customStyle="1">
    <w:basedOn w:val="TableNormal3"/>
    <w:tblPr>
      <w:tblStyleRowBandSize w:val="1"/>
      <w:tblStyleColBandSize w:val="1"/>
      <w:tblCellMar>
        <w:top w:w="41.0" w:type="dxa"/>
        <w:left w:w="827.0" w:type="dxa"/>
        <w:right w:w="115.0" w:type="dxa"/>
      </w:tblCellMar>
    </w:tblPr>
  </w:style>
  <w:style w:type="table" w:styleId="affffffffb" w:customStyle="1">
    <w:basedOn w:val="TableNormal3"/>
    <w:tblPr>
      <w:tblStyleRowBandSize w:val="1"/>
      <w:tblStyleColBandSize w:val="1"/>
      <w:tblCellMar>
        <w:top w:w="41.0" w:type="dxa"/>
        <w:left w:w="827.0" w:type="dxa"/>
        <w:right w:w="115.0" w:type="dxa"/>
      </w:tblCellMar>
    </w:tblPr>
  </w:style>
  <w:style w:type="table" w:styleId="affffffffc" w:customStyle="1">
    <w:basedOn w:val="TableNormal3"/>
    <w:tblPr>
      <w:tblStyleRowBandSize w:val="1"/>
      <w:tblStyleColBandSize w:val="1"/>
      <w:tblCellMar>
        <w:top w:w="41.0" w:type="dxa"/>
        <w:left w:w="827.0" w:type="dxa"/>
        <w:right w:w="115.0" w:type="dxa"/>
      </w:tblCellMar>
    </w:tblPr>
  </w:style>
  <w:style w:type="table" w:styleId="affffffffd" w:customStyle="1">
    <w:basedOn w:val="TableNormal3"/>
    <w:tblPr>
      <w:tblStyleRowBandSize w:val="1"/>
      <w:tblStyleColBandSize w:val="1"/>
      <w:tblCellMar>
        <w:top w:w="41.0" w:type="dxa"/>
        <w:left w:w="827.0" w:type="dxa"/>
        <w:right w:w="115.0" w:type="dxa"/>
      </w:tblCellMar>
    </w:tblPr>
  </w:style>
  <w:style w:type="table" w:styleId="affffffffe" w:customStyle="1">
    <w:basedOn w:val="TableNormal3"/>
    <w:tblPr>
      <w:tblStyleRowBandSize w:val="1"/>
      <w:tblStyleColBandSize w:val="1"/>
      <w:tblCellMar>
        <w:top w:w="41.0" w:type="dxa"/>
        <w:left w:w="827.0" w:type="dxa"/>
        <w:right w:w="115.0" w:type="dxa"/>
      </w:tblCellMar>
    </w:tblPr>
  </w:style>
  <w:style w:type="table" w:styleId="afffffffff" w:customStyle="1">
    <w:basedOn w:val="TableNormal3"/>
    <w:tblPr>
      <w:tblStyleRowBandSize w:val="1"/>
      <w:tblStyleColBandSize w:val="1"/>
      <w:tblCellMar>
        <w:top w:w="41.0" w:type="dxa"/>
        <w:left w:w="827.0" w:type="dxa"/>
        <w:right w:w="115.0" w:type="dxa"/>
      </w:tblCellMar>
    </w:tblPr>
  </w:style>
  <w:style w:type="table" w:styleId="afffffffff0" w:customStyle="1">
    <w:basedOn w:val="TableNormal3"/>
    <w:tblPr>
      <w:tblStyleRowBandSize w:val="1"/>
      <w:tblStyleColBandSize w:val="1"/>
      <w:tblCellMar>
        <w:top w:w="41.0" w:type="dxa"/>
        <w:left w:w="827.0" w:type="dxa"/>
        <w:right w:w="115.0" w:type="dxa"/>
      </w:tblCellMar>
    </w:tblPr>
  </w:style>
  <w:style w:type="table" w:styleId="afffffffff1" w:customStyle="1">
    <w:basedOn w:val="TableNormal3"/>
    <w:tblPr>
      <w:tblStyleRowBandSize w:val="1"/>
      <w:tblStyleColBandSize w:val="1"/>
      <w:tblCellMar>
        <w:top w:w="41.0" w:type="dxa"/>
        <w:left w:w="827.0" w:type="dxa"/>
        <w:right w:w="115.0" w:type="dxa"/>
      </w:tblCellMar>
    </w:tblPr>
  </w:style>
  <w:style w:type="table" w:styleId="afffffffff2" w:customStyle="1">
    <w:basedOn w:val="TableNormal3"/>
    <w:tblPr>
      <w:tblStyleRowBandSize w:val="1"/>
      <w:tblStyleColBandSize w:val="1"/>
      <w:tblCellMar>
        <w:top w:w="41.0" w:type="dxa"/>
        <w:left w:w="827.0" w:type="dxa"/>
        <w:right w:w="115.0" w:type="dxa"/>
      </w:tblCellMar>
    </w:tblPr>
  </w:style>
  <w:style w:type="table" w:styleId="afffffffff3" w:customStyle="1">
    <w:basedOn w:val="TableNormal3"/>
    <w:tblPr>
      <w:tblStyleRowBandSize w:val="1"/>
      <w:tblStyleColBandSize w:val="1"/>
      <w:tblCellMar>
        <w:top w:w="41.0" w:type="dxa"/>
        <w:left w:w="827.0" w:type="dxa"/>
        <w:right w:w="115.0" w:type="dxa"/>
      </w:tblCellMar>
    </w:tblPr>
  </w:style>
  <w:style w:type="table" w:styleId="afffffffff4" w:customStyle="1">
    <w:basedOn w:val="TableNormal3"/>
    <w:tblPr>
      <w:tblStyleRowBandSize w:val="1"/>
      <w:tblStyleColBandSize w:val="1"/>
      <w:tblCellMar>
        <w:top w:w="41.0" w:type="dxa"/>
        <w:left w:w="827.0" w:type="dxa"/>
        <w:right w:w="115.0" w:type="dxa"/>
      </w:tblCellMar>
    </w:tblPr>
  </w:style>
  <w:style w:type="table" w:styleId="afffffffff5" w:customStyle="1">
    <w:basedOn w:val="TableNormal3"/>
    <w:tblPr>
      <w:tblStyleRowBandSize w:val="1"/>
      <w:tblStyleColBandSize w:val="1"/>
      <w:tblCellMar>
        <w:top w:w="41.0" w:type="dxa"/>
        <w:left w:w="827.0" w:type="dxa"/>
        <w:right w:w="115.0" w:type="dxa"/>
      </w:tblCellMar>
    </w:tblPr>
  </w:style>
  <w:style w:type="table" w:styleId="afffffffff6" w:customStyle="1">
    <w:basedOn w:val="TableNormal3"/>
    <w:tblPr>
      <w:tblStyleRowBandSize w:val="1"/>
      <w:tblStyleColBandSize w:val="1"/>
      <w:tblCellMar>
        <w:top w:w="41.0" w:type="dxa"/>
        <w:left w:w="827.0" w:type="dxa"/>
        <w:right w:w="115.0" w:type="dxa"/>
      </w:tblCellMar>
    </w:tblPr>
  </w:style>
  <w:style w:type="table" w:styleId="afffffffff7" w:customStyle="1">
    <w:basedOn w:val="TableNormal3"/>
    <w:tblPr>
      <w:tblStyleRowBandSize w:val="1"/>
      <w:tblStyleColBandSize w:val="1"/>
      <w:tblCellMar>
        <w:top w:w="41.0" w:type="dxa"/>
        <w:left w:w="827.0" w:type="dxa"/>
        <w:right w:w="115.0" w:type="dxa"/>
      </w:tblCellMar>
    </w:tblPr>
  </w:style>
  <w:style w:type="table" w:styleId="afffffffff8" w:customStyle="1">
    <w:basedOn w:val="TableNormal3"/>
    <w:tblPr>
      <w:tblStyleRowBandSize w:val="1"/>
      <w:tblStyleColBandSize w:val="1"/>
      <w:tblCellMar>
        <w:top w:w="41.0" w:type="dxa"/>
        <w:left w:w="827.0" w:type="dxa"/>
        <w:right w:w="115.0" w:type="dxa"/>
      </w:tblCellMar>
    </w:tblPr>
  </w:style>
  <w:style w:type="table" w:styleId="afffffffff9" w:customStyle="1">
    <w:basedOn w:val="TableNormal3"/>
    <w:tblPr>
      <w:tblStyleRowBandSize w:val="1"/>
      <w:tblStyleColBandSize w:val="1"/>
      <w:tblCellMar>
        <w:top w:w="41.0" w:type="dxa"/>
        <w:left w:w="827.0" w:type="dxa"/>
        <w:right w:w="115.0" w:type="dxa"/>
      </w:tblCellMar>
    </w:tblPr>
  </w:style>
  <w:style w:type="table" w:styleId="afffffffffa" w:customStyle="1">
    <w:basedOn w:val="TableNormal3"/>
    <w:tblPr>
      <w:tblStyleRowBandSize w:val="1"/>
      <w:tblStyleColBandSize w:val="1"/>
      <w:tblCellMar>
        <w:top w:w="41.0" w:type="dxa"/>
        <w:left w:w="827.0" w:type="dxa"/>
        <w:right w:w="115.0" w:type="dxa"/>
      </w:tblCellMar>
    </w:tblPr>
  </w:style>
  <w:style w:type="table" w:styleId="afffffffffb" w:customStyle="1">
    <w:basedOn w:val="TableNormal3"/>
    <w:tblPr>
      <w:tblStyleRowBandSize w:val="1"/>
      <w:tblStyleColBandSize w:val="1"/>
      <w:tblCellMar>
        <w:top w:w="41.0" w:type="dxa"/>
        <w:left w:w="827.0" w:type="dxa"/>
        <w:right w:w="115.0" w:type="dxa"/>
      </w:tblCellMar>
    </w:tblPr>
  </w:style>
  <w:style w:type="table" w:styleId="afffffffffc" w:customStyle="1">
    <w:basedOn w:val="TableNormal3"/>
    <w:tblPr>
      <w:tblStyleRowBandSize w:val="1"/>
      <w:tblStyleColBandSize w:val="1"/>
      <w:tblCellMar>
        <w:top w:w="41.0" w:type="dxa"/>
        <w:left w:w="827.0" w:type="dxa"/>
        <w:right w:w="115.0" w:type="dxa"/>
      </w:tblCellMar>
    </w:tblPr>
  </w:style>
  <w:style w:type="table" w:styleId="afffffffffd" w:customStyle="1">
    <w:basedOn w:val="TableNormal3"/>
    <w:tblPr>
      <w:tblStyleRowBandSize w:val="1"/>
      <w:tblStyleColBandSize w:val="1"/>
      <w:tblCellMar>
        <w:top w:w="41.0" w:type="dxa"/>
        <w:left w:w="827.0" w:type="dxa"/>
        <w:right w:w="115.0" w:type="dxa"/>
      </w:tblCellMar>
    </w:tblPr>
  </w:style>
  <w:style w:type="table" w:styleId="afffffffffe" w:customStyle="1">
    <w:basedOn w:val="TableNormal3"/>
    <w:tblPr>
      <w:tblStyleRowBandSize w:val="1"/>
      <w:tblStyleColBandSize w:val="1"/>
      <w:tblCellMar>
        <w:top w:w="41.0" w:type="dxa"/>
        <w:left w:w="827.0" w:type="dxa"/>
        <w:right w:w="115.0" w:type="dxa"/>
      </w:tblCellMar>
    </w:tblPr>
  </w:style>
  <w:style w:type="table" w:styleId="affffffffff" w:customStyle="1">
    <w:basedOn w:val="TableNormal3"/>
    <w:tblPr>
      <w:tblStyleRowBandSize w:val="1"/>
      <w:tblStyleColBandSize w:val="1"/>
      <w:tblCellMar>
        <w:top w:w="41.0" w:type="dxa"/>
        <w:left w:w="827.0" w:type="dxa"/>
        <w:right w:w="115.0" w:type="dxa"/>
      </w:tblCellMar>
    </w:tblPr>
  </w:style>
  <w:style w:type="table" w:styleId="affffffffff0" w:customStyle="1">
    <w:basedOn w:val="TableNormal3"/>
    <w:tblPr>
      <w:tblStyleRowBandSize w:val="1"/>
      <w:tblStyleColBandSize w:val="1"/>
      <w:tblCellMar>
        <w:top w:w="41.0" w:type="dxa"/>
        <w:left w:w="827.0" w:type="dxa"/>
        <w:right w:w="115.0" w:type="dxa"/>
      </w:tblCellMar>
    </w:tblPr>
  </w:style>
  <w:style w:type="table" w:styleId="affffffffff1" w:customStyle="1">
    <w:basedOn w:val="TableNormal3"/>
    <w:tblPr>
      <w:tblStyleRowBandSize w:val="1"/>
      <w:tblStyleColBandSize w:val="1"/>
      <w:tblCellMar>
        <w:top w:w="41.0" w:type="dxa"/>
        <w:left w:w="827.0" w:type="dxa"/>
        <w:right w:w="115.0" w:type="dxa"/>
      </w:tblCellMar>
    </w:tblPr>
  </w:style>
  <w:style w:type="table" w:styleId="affffffffff2" w:customStyle="1">
    <w:basedOn w:val="TableNormal3"/>
    <w:tblPr>
      <w:tblStyleRowBandSize w:val="1"/>
      <w:tblStyleColBandSize w:val="1"/>
      <w:tblCellMar>
        <w:top w:w="41.0" w:type="dxa"/>
        <w:left w:w="827.0" w:type="dxa"/>
        <w:right w:w="115.0" w:type="dxa"/>
      </w:tblCellMar>
    </w:tblPr>
  </w:style>
  <w:style w:type="table" w:styleId="affffffffff3" w:customStyle="1">
    <w:basedOn w:val="TableNormal3"/>
    <w:tblPr>
      <w:tblStyleRowBandSize w:val="1"/>
      <w:tblStyleColBandSize w:val="1"/>
      <w:tblCellMar>
        <w:top w:w="41.0" w:type="dxa"/>
        <w:left w:w="827.0" w:type="dxa"/>
        <w:right w:w="115.0" w:type="dxa"/>
      </w:tblCellMar>
    </w:tblPr>
  </w:style>
  <w:style w:type="table" w:styleId="affffffffff4" w:customStyle="1">
    <w:basedOn w:val="TableNormal3"/>
    <w:tblPr>
      <w:tblStyleRowBandSize w:val="1"/>
      <w:tblStyleColBandSize w:val="1"/>
      <w:tblCellMar>
        <w:top w:w="41.0" w:type="dxa"/>
        <w:left w:w="827.0" w:type="dxa"/>
        <w:right w:w="115.0" w:type="dxa"/>
      </w:tblCellMar>
    </w:tblPr>
  </w:style>
  <w:style w:type="table" w:styleId="affffffffff5" w:customStyle="1">
    <w:basedOn w:val="TableNormal3"/>
    <w:tblPr>
      <w:tblStyleRowBandSize w:val="1"/>
      <w:tblStyleColBandSize w:val="1"/>
      <w:tblCellMar>
        <w:top w:w="41.0" w:type="dxa"/>
        <w:left w:w="827.0" w:type="dxa"/>
        <w:right w:w="115.0" w:type="dxa"/>
      </w:tblCellMar>
    </w:tblPr>
  </w:style>
  <w:style w:type="table" w:styleId="affffffffff6" w:customStyle="1">
    <w:basedOn w:val="TableNormal3"/>
    <w:tblPr>
      <w:tblStyleRowBandSize w:val="1"/>
      <w:tblStyleColBandSize w:val="1"/>
      <w:tblCellMar>
        <w:top w:w="41.0" w:type="dxa"/>
        <w:left w:w="827.0" w:type="dxa"/>
        <w:right w:w="115.0" w:type="dxa"/>
      </w:tblCellMar>
    </w:tblPr>
  </w:style>
  <w:style w:type="table" w:styleId="affffffffff7" w:customStyle="1">
    <w:basedOn w:val="TableNormal3"/>
    <w:tblPr>
      <w:tblStyleRowBandSize w:val="1"/>
      <w:tblStyleColBandSize w:val="1"/>
      <w:tblCellMar>
        <w:top w:w="41.0" w:type="dxa"/>
        <w:left w:w="827.0" w:type="dxa"/>
        <w:right w:w="115.0" w:type="dxa"/>
      </w:tblCellMar>
    </w:tblPr>
  </w:style>
  <w:style w:type="table" w:styleId="affffffffff8" w:customStyle="1">
    <w:basedOn w:val="TableNormal3"/>
    <w:tblPr>
      <w:tblStyleRowBandSize w:val="1"/>
      <w:tblStyleColBandSize w:val="1"/>
      <w:tblCellMar>
        <w:top w:w="41.0" w:type="dxa"/>
        <w:left w:w="827.0" w:type="dxa"/>
        <w:right w:w="115.0" w:type="dxa"/>
      </w:tblCellMar>
    </w:tblPr>
  </w:style>
  <w:style w:type="table" w:styleId="affffffffff9" w:customStyle="1">
    <w:basedOn w:val="TableNormal3"/>
    <w:tblPr>
      <w:tblStyleRowBandSize w:val="1"/>
      <w:tblStyleColBandSize w:val="1"/>
      <w:tblCellMar>
        <w:top w:w="41.0" w:type="dxa"/>
        <w:left w:w="827.0" w:type="dxa"/>
        <w:right w:w="115.0" w:type="dxa"/>
      </w:tblCellMar>
    </w:tblPr>
  </w:style>
  <w:style w:type="table" w:styleId="affffffffffa" w:customStyle="1">
    <w:basedOn w:val="TableNormal3"/>
    <w:tblPr>
      <w:tblStyleRowBandSize w:val="1"/>
      <w:tblStyleColBandSize w:val="1"/>
      <w:tblCellMar>
        <w:top w:w="100.0" w:type="dxa"/>
        <w:left w:w="100.0" w:type="dxa"/>
        <w:bottom w:w="100.0" w:type="dxa"/>
        <w:right w:w="100.0" w:type="dxa"/>
      </w:tblCellMar>
    </w:tblPr>
  </w:style>
  <w:style w:type="table" w:styleId="affffffffffb" w:customStyle="1">
    <w:basedOn w:val="TableNormal3"/>
    <w:tblPr>
      <w:tblStyleRowBandSize w:val="1"/>
      <w:tblStyleColBandSize w:val="1"/>
      <w:tblCellMar>
        <w:top w:w="41.0" w:type="dxa"/>
        <w:left w:w="827.0" w:type="dxa"/>
        <w:right w:w="115.0" w:type="dxa"/>
      </w:tblCellMar>
    </w:tblPr>
  </w:style>
  <w:style w:type="table" w:styleId="affffffffffc" w:customStyle="1">
    <w:basedOn w:val="TableNormal3"/>
    <w:tblPr>
      <w:tblStyleRowBandSize w:val="1"/>
      <w:tblStyleColBandSize w:val="1"/>
      <w:tblCellMar>
        <w:top w:w="41.0" w:type="dxa"/>
        <w:left w:w="827.0" w:type="dxa"/>
        <w:right w:w="115.0" w:type="dxa"/>
      </w:tblCellMar>
    </w:tblPr>
  </w:style>
  <w:style w:type="table" w:styleId="affffffffffd" w:customStyle="1">
    <w:basedOn w:val="TableNormal3"/>
    <w:tblPr>
      <w:tblStyleRowBandSize w:val="1"/>
      <w:tblStyleColBandSize w:val="1"/>
      <w:tblCellMar>
        <w:top w:w="41.0" w:type="dxa"/>
        <w:left w:w="827.0" w:type="dxa"/>
        <w:right w:w="115.0" w:type="dxa"/>
      </w:tblCellMar>
    </w:tblPr>
  </w:style>
  <w:style w:type="table" w:styleId="affffffffffe" w:customStyle="1">
    <w:basedOn w:val="TableNormal3"/>
    <w:tblPr>
      <w:tblStyleRowBandSize w:val="1"/>
      <w:tblStyleColBandSize w:val="1"/>
      <w:tblCellMar>
        <w:top w:w="41.0" w:type="dxa"/>
        <w:left w:w="827.0" w:type="dxa"/>
        <w:right w:w="115.0" w:type="dxa"/>
      </w:tblCellMar>
    </w:tblPr>
  </w:style>
  <w:style w:type="table" w:styleId="afffffffffff" w:customStyle="1">
    <w:basedOn w:val="TableNormal3"/>
    <w:tblPr>
      <w:tblStyleRowBandSize w:val="1"/>
      <w:tblStyleColBandSize w:val="1"/>
      <w:tblCellMar>
        <w:top w:w="41.0" w:type="dxa"/>
        <w:left w:w="827.0" w:type="dxa"/>
        <w:right w:w="115.0" w:type="dxa"/>
      </w:tblCellMar>
    </w:tblPr>
  </w:style>
  <w:style w:type="table" w:styleId="afffffffffff0" w:customStyle="1">
    <w:basedOn w:val="TableNormal3"/>
    <w:tblPr>
      <w:tblStyleRowBandSize w:val="1"/>
      <w:tblStyleColBandSize w:val="1"/>
      <w:tblCellMar>
        <w:top w:w="41.0" w:type="dxa"/>
        <w:left w:w="827.0" w:type="dxa"/>
        <w:right w:w="115.0" w:type="dxa"/>
      </w:tblCellMar>
    </w:tblPr>
  </w:style>
  <w:style w:type="table" w:styleId="afffffffffff1" w:customStyle="1">
    <w:basedOn w:val="TableNormal3"/>
    <w:tblPr>
      <w:tblStyleRowBandSize w:val="1"/>
      <w:tblStyleColBandSize w:val="1"/>
      <w:tblCellMar>
        <w:top w:w="41.0" w:type="dxa"/>
        <w:left w:w="827.0" w:type="dxa"/>
        <w:right w:w="115.0" w:type="dxa"/>
      </w:tblCellMar>
    </w:tblPr>
  </w:style>
  <w:style w:type="table" w:styleId="afffffffffff2" w:customStyle="1">
    <w:basedOn w:val="TableNormal3"/>
    <w:tblPr>
      <w:tblStyleRowBandSize w:val="1"/>
      <w:tblStyleColBandSize w:val="1"/>
      <w:tblCellMar>
        <w:top w:w="41.0" w:type="dxa"/>
        <w:left w:w="827.0" w:type="dxa"/>
        <w:right w:w="115.0" w:type="dxa"/>
      </w:tblCellMar>
    </w:tblPr>
  </w:style>
  <w:style w:type="table" w:styleId="afffffffffff3" w:customStyle="1">
    <w:basedOn w:val="TableNormal3"/>
    <w:tblPr>
      <w:tblStyleRowBandSize w:val="1"/>
      <w:tblStyleColBandSize w:val="1"/>
      <w:tblCellMar>
        <w:top w:w="41.0" w:type="dxa"/>
        <w:left w:w="827.0" w:type="dxa"/>
        <w:right w:w="115.0" w:type="dxa"/>
      </w:tblCellMar>
    </w:tblPr>
  </w:style>
  <w:style w:type="table" w:styleId="afffffffffff4" w:customStyle="1">
    <w:basedOn w:val="TableNormal3"/>
    <w:tblPr>
      <w:tblStyleRowBandSize w:val="1"/>
      <w:tblStyleColBandSize w:val="1"/>
      <w:tblCellMar>
        <w:top w:w="41.0" w:type="dxa"/>
        <w:left w:w="827.0" w:type="dxa"/>
        <w:right w:w="115.0" w:type="dxa"/>
      </w:tblCellMar>
    </w:tblPr>
  </w:style>
  <w:style w:type="table" w:styleId="afffffffffff5" w:customStyle="1">
    <w:basedOn w:val="TableNormal3"/>
    <w:tblPr>
      <w:tblStyleRowBandSize w:val="1"/>
      <w:tblStyleColBandSize w:val="1"/>
      <w:tblCellMar>
        <w:top w:w="41.0" w:type="dxa"/>
        <w:left w:w="827.0" w:type="dxa"/>
        <w:right w:w="115.0" w:type="dxa"/>
      </w:tblCellMar>
    </w:tblPr>
  </w:style>
  <w:style w:type="table" w:styleId="Tablaconcuadrcula">
    <w:name w:val="Table Grid"/>
    <w:basedOn w:val="Tablanormal"/>
    <w:uiPriority w:val="39"/>
    <w:rsid w:val="003D4AF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6E3011"/>
    <w:pPr>
      <w:spacing w:after="100" w:afterAutospacing="1" w:before="100" w:beforeAutospacing="1" w:line="240" w:lineRule="auto"/>
    </w:pPr>
    <w:rPr>
      <w:rFonts w:ascii="Times New Roman" w:cs="Times New Roman" w:eastAsia="Times New Roman" w:hAnsi="Times New Roman"/>
      <w:sz w:val="24"/>
      <w:szCs w:val="24"/>
    </w:rPr>
  </w:style>
  <w:style w:type="character" w:styleId="Mencinsinresolver">
    <w:name w:val="Unresolved Mention"/>
    <w:basedOn w:val="Fuentedeprrafopredeter"/>
    <w:uiPriority w:val="99"/>
    <w:semiHidden w:val="1"/>
    <w:unhideWhenUsed w:val="1"/>
    <w:rsid w:val="00A71F5E"/>
    <w:rPr>
      <w:color w:val="605e5c"/>
      <w:shd w:color="auto" w:fill="e1dfdd" w:val="clear"/>
    </w:rPr>
  </w:style>
  <w:style w:type="character" w:styleId="Refdecomentario">
    <w:name w:val="annotation reference"/>
    <w:basedOn w:val="Fuentedeprrafopredeter"/>
    <w:uiPriority w:val="99"/>
    <w:semiHidden w:val="1"/>
    <w:unhideWhenUsed w:val="1"/>
    <w:rsid w:val="000F3660"/>
    <w:rPr>
      <w:sz w:val="16"/>
      <w:szCs w:val="16"/>
    </w:rPr>
  </w:style>
  <w:style w:type="paragraph" w:styleId="Textocomentario">
    <w:name w:val="annotation text"/>
    <w:basedOn w:val="Normal"/>
    <w:link w:val="TextocomentarioCar"/>
    <w:uiPriority w:val="99"/>
    <w:semiHidden w:val="1"/>
    <w:unhideWhenUsed w:val="1"/>
    <w:rsid w:val="000F3660"/>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0F3660"/>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0F3660"/>
    <w:rPr>
      <w:b w:val="1"/>
      <w:bCs w:val="1"/>
    </w:rPr>
  </w:style>
  <w:style w:type="character" w:styleId="AsuntodelcomentarioCar" w:customStyle="1">
    <w:name w:val="Asunto del comentario Car"/>
    <w:basedOn w:val="TextocomentarioCar"/>
    <w:link w:val="Asuntodelcomentario"/>
    <w:uiPriority w:val="99"/>
    <w:semiHidden w:val="1"/>
    <w:rsid w:val="000F3660"/>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1.0" w:type="dxa"/>
        <w:left w:w="827.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41.0" w:type="dxa"/>
        <w:left w:w="827.0" w:type="dxa"/>
        <w:bottom w:w="0.0" w:type="dxa"/>
        <w:right w:w="115.0" w:type="dxa"/>
      </w:tblCellMar>
    </w:tblPr>
  </w:style>
  <w:style w:type="table" w:styleId="Table4">
    <w:basedOn w:val="TableNormal"/>
    <w:tblPr>
      <w:tblStyleRowBandSize w:val="1"/>
      <w:tblStyleColBandSize w:val="1"/>
      <w:tblCellMar>
        <w:top w:w="41.0" w:type="dxa"/>
        <w:left w:w="827.0" w:type="dxa"/>
        <w:bottom w:w="0.0" w:type="dxa"/>
        <w:right w:w="115.0" w:type="dxa"/>
      </w:tblCellMar>
    </w:tblPr>
  </w:style>
  <w:style w:type="table" w:styleId="Table5">
    <w:basedOn w:val="TableNormal"/>
    <w:tblPr>
      <w:tblStyleRowBandSize w:val="1"/>
      <w:tblStyleColBandSize w:val="1"/>
      <w:tblCellMar>
        <w:top w:w="41.0" w:type="dxa"/>
        <w:left w:w="827.0" w:type="dxa"/>
        <w:bottom w:w="0.0" w:type="dxa"/>
        <w:right w:w="115.0" w:type="dxa"/>
      </w:tblCellMar>
    </w:tblPr>
  </w:style>
  <w:style w:type="table" w:styleId="Table6">
    <w:basedOn w:val="TableNormal"/>
    <w:tblPr>
      <w:tblStyleRowBandSize w:val="1"/>
      <w:tblStyleColBandSize w:val="1"/>
      <w:tblCellMar>
        <w:top w:w="41.0" w:type="dxa"/>
        <w:left w:w="827.0" w:type="dxa"/>
        <w:bottom w:w="0.0" w:type="dxa"/>
        <w:right w:w="115.0" w:type="dxa"/>
      </w:tblCellMar>
    </w:tblPr>
  </w:style>
  <w:style w:type="table" w:styleId="Table7">
    <w:basedOn w:val="TableNormal"/>
    <w:tblPr>
      <w:tblStyleRowBandSize w:val="1"/>
      <w:tblStyleColBandSize w:val="1"/>
      <w:tblCellMar>
        <w:top w:w="41.0" w:type="dxa"/>
        <w:left w:w="827.0" w:type="dxa"/>
        <w:bottom w:w="0.0" w:type="dxa"/>
        <w:right w:w="115.0" w:type="dxa"/>
      </w:tblCellMar>
    </w:tblPr>
  </w:style>
  <w:style w:type="table" w:styleId="Table8">
    <w:basedOn w:val="TableNormal"/>
    <w:tblPr>
      <w:tblStyleRowBandSize w:val="1"/>
      <w:tblStyleColBandSize w:val="1"/>
      <w:tblCellMar>
        <w:top w:w="41.0" w:type="dxa"/>
        <w:left w:w="827.0" w:type="dxa"/>
        <w:bottom w:w="0.0" w:type="dxa"/>
        <w:right w:w="115.0" w:type="dxa"/>
      </w:tblCellMar>
    </w:tblPr>
  </w:style>
  <w:style w:type="table" w:styleId="Table9">
    <w:basedOn w:val="TableNormal"/>
    <w:tblPr>
      <w:tblStyleRowBandSize w:val="1"/>
      <w:tblStyleColBandSize w:val="1"/>
      <w:tblCellMar>
        <w:top w:w="41.0" w:type="dxa"/>
        <w:left w:w="827.0" w:type="dxa"/>
        <w:bottom w:w="0.0" w:type="dxa"/>
        <w:right w:w="115.0" w:type="dxa"/>
      </w:tblCellMar>
    </w:tblPr>
  </w:style>
  <w:style w:type="table" w:styleId="Table10">
    <w:basedOn w:val="TableNormal"/>
    <w:tblPr>
      <w:tblStyleRowBandSize w:val="1"/>
      <w:tblStyleColBandSize w:val="1"/>
      <w:tblCellMar>
        <w:top w:w="41.0" w:type="dxa"/>
        <w:left w:w="827.0" w:type="dxa"/>
        <w:bottom w:w="0.0" w:type="dxa"/>
        <w:right w:w="115.0" w:type="dxa"/>
      </w:tblCellMar>
    </w:tblPr>
  </w:style>
  <w:style w:type="table" w:styleId="Table11">
    <w:basedOn w:val="TableNormal"/>
    <w:tblPr>
      <w:tblStyleRowBandSize w:val="1"/>
      <w:tblStyleColBandSize w:val="1"/>
      <w:tblCellMar>
        <w:top w:w="41.0" w:type="dxa"/>
        <w:left w:w="827.0" w:type="dxa"/>
        <w:bottom w:w="0.0" w:type="dxa"/>
        <w:right w:w="115.0" w:type="dxa"/>
      </w:tblCellMar>
    </w:tblPr>
  </w:style>
  <w:style w:type="table" w:styleId="Table12">
    <w:basedOn w:val="TableNormal"/>
    <w:tblPr>
      <w:tblStyleRowBandSize w:val="1"/>
      <w:tblStyleColBandSize w:val="1"/>
      <w:tblCellMar>
        <w:top w:w="41.0" w:type="dxa"/>
        <w:left w:w="827.0" w:type="dxa"/>
        <w:bottom w:w="0.0" w:type="dxa"/>
        <w:right w:w="115.0" w:type="dxa"/>
      </w:tblCellMar>
    </w:tblPr>
  </w:style>
  <w:style w:type="table" w:styleId="Table13">
    <w:basedOn w:val="TableNormal"/>
    <w:tblPr>
      <w:tblStyleRowBandSize w:val="1"/>
      <w:tblStyleColBandSize w:val="1"/>
      <w:tblCellMar>
        <w:top w:w="41.0" w:type="dxa"/>
        <w:left w:w="827.0" w:type="dxa"/>
        <w:bottom w:w="0.0" w:type="dxa"/>
        <w:right w:w="115.0" w:type="dxa"/>
      </w:tblCellMar>
    </w:tblPr>
  </w:style>
  <w:style w:type="table" w:styleId="Table14">
    <w:basedOn w:val="TableNormal"/>
    <w:tblPr>
      <w:tblStyleRowBandSize w:val="1"/>
      <w:tblStyleColBandSize w:val="1"/>
      <w:tblCellMar>
        <w:top w:w="41.0" w:type="dxa"/>
        <w:left w:w="827.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alertadegenero.edomex.gob.mx/chalco" TargetMode="External"/><Relationship Id="rId22" Type="http://schemas.openxmlformats.org/officeDocument/2006/relationships/footer" Target="footer3.xml"/><Relationship Id="rId10" Type="http://schemas.openxmlformats.org/officeDocument/2006/relationships/hyperlink" Target="https://alertadegenero.edomex.gob.mx/sites/alertadegenero.edomex.gob.mx/files/files/1.%20Mapas%20de%20calor%20Chalco%20febrero%202025.pdf" TargetMode="External"/><Relationship Id="rId21" Type="http://schemas.openxmlformats.org/officeDocument/2006/relationships/footer" Target="footer2.xml"/><Relationship Id="rId13" Type="http://schemas.openxmlformats.org/officeDocument/2006/relationships/hyperlink" Target="https://alertadegenero.edomex.gob.mx/municipios_alerta" TargetMode="External"/><Relationship Id="rId12" Type="http://schemas.openxmlformats.org/officeDocument/2006/relationships/hyperlink" Target="https://alertadegenero.edomex.gob.mx/acciones"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lertadegenero.edomex.gob.mx/zonas_riesgo" TargetMode="External"/><Relationship Id="rId15" Type="http://schemas.openxmlformats.org/officeDocument/2006/relationships/hyperlink" Target="https://alertadegenero.edomex.gob.mx/sites/alertadegenero.edomex.gob.mx/files/files/ACUERDO%20DE%20LA%20SECRETAR%C3%8DA%20DE%20LAS%20MUJERES%20POR%20EL%20QUE%20SE%20ESTABLECEN%20LOS%20MECANISMOS%20DE%20OPERACI%C3%93N%20PARA%20LA%20EJECUCI%C3%93N%20DE%20LOS%20RECURSOS%20ASIGNADOS%20PARA%20ATENDER%20LAS%20DECLARATORIAS%20DE%20ALERTA%20DE%20VIOLENCIA%20DE%20G%C3%89NERO%20POR%20FEMIN.pdf" TargetMode="External"/><Relationship Id="rId14" Type="http://schemas.openxmlformats.org/officeDocument/2006/relationships/hyperlink" Target="https://alertadegenero.edomex.gob.mx/sites/alertadegenero.edomex.gob.mx/files/files/Presupuesto%20asignado%2C%20ejercido%20y%20reintegrado%20a%20los%20municpios%20con%20AVGM.pdf" TargetMode="External"/><Relationship Id="rId17" Type="http://schemas.openxmlformats.org/officeDocument/2006/relationships/hyperlink" Target="https://alertadegenero.edomex.gob.mx/" TargetMode="External"/><Relationship Id="rId16" Type="http://schemas.openxmlformats.org/officeDocument/2006/relationships/hyperlink" Target="https://alertadegenero.edomex.gob.mx/encuesta-satisfaccion" TargetMode="Externa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s://www.facebook.com/profile/100064672090236/search/?q=violencia" TargetMode="External"/><Relationship Id="rId8" Type="http://schemas.openxmlformats.org/officeDocument/2006/relationships/hyperlink" Target="https://alertadegenero.edomex.gob.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uQ2HHWlwfKqw0n4IQGZBy56iJA==">CgMxLjAyDmgubW1wcHJlNmVneWhzMg5oLjlmZjdhbGF3dm9iMjIOaC40Y3cwcWl4NjNuMmcyDmgudWM4MTRyZnliY2owMg5oLjh4M3B4eWs2NTh2eTIJaC4xZm9iOXRlMg1oLmwxdW05MWZ6dXV4MgloLjMwajB6bGw4AHIhMS12dEFoRU04QjBDajVId1ZzS1ZsT0NXX2stczBCV2F0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2025-06-11T20:27:00Z</dcterms:created>
  <dc:creator>Jonathan Guillermo Munoz Acevedo</dc:creator>
</cp:coreProperties>
</file>